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江西铜业集团铜板带有限公司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1189-2021-2022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1189-2021-2022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江西铜业集团铜板带有限公司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方柳燕</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ISC-2021-1209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2022年11月02日 下午</w:t>
            </w:r>
            <w:bookmarkEnd w:id="9"/>
            <w:r>
              <w:rPr>
                <w:color w:val="000000"/>
                <w:szCs w:val="21"/>
              </w:rPr>
              <w:t>至</w:t>
            </w:r>
            <w:r>
              <w:rPr>
                <w:rFonts w:hint="eastAsia" w:cs="宋体" w:asciiTheme="minorEastAsia" w:hAnsiTheme="minorEastAsia"/>
                <w:kern w:val="0"/>
                <w:szCs w:val="21"/>
                <w:lang w:val="en-US" w:eastAsia="zh-CN"/>
              </w:rPr>
              <w:t>03日下午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color w:val="000000"/>
                <w:szCs w:val="21"/>
                <w:shd w:val="pct10" w:color="auto" w:fill="FFFFFF"/>
              </w:rPr>
              <w:t>2021-M1MMS-2274774</w:t>
            </w:r>
          </w:p>
          <w:p>
            <w:pPr>
              <w:tabs>
                <w:tab w:val="left" w:pos="880"/>
              </w:tabs>
              <w:autoSpaceDE w:val="0"/>
              <w:autoSpaceDN w:val="0"/>
              <w:adjustRightInd w:val="0"/>
              <w:spacing w:before="35" w:line="276" w:lineRule="auto"/>
              <w:ind w:right="161"/>
              <w:rPr>
                <w:color w:val="000000"/>
                <w:szCs w:val="21"/>
                <w:shd w:val="pct10" w:color="auto" w:fill="FFFFFF"/>
              </w:rPr>
            </w:pPr>
            <w:r>
              <w:rPr>
                <w:rFonts w:ascii="宋体" w:hAnsi="宋体"/>
                <w:szCs w:val="21"/>
              </w:rPr>
              <w:t>周彤</w:t>
            </w:r>
            <w:r>
              <w:rPr>
                <w:rFonts w:ascii="宋体" w:hAnsi="宋体"/>
                <w:color w:val="000000"/>
                <w:szCs w:val="21"/>
                <w:shd w:val="pct10" w:color="auto" w:fill="FFFFFF"/>
              </w:rPr>
              <w:t>2021-M1MMS-2274792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eastAsia="宋体" w:cs="宋体"/>
                <w:color w:val="auto"/>
                <w:szCs w:val="21"/>
                <w:lang w:val="en-US" w:eastAsia="zh-CN"/>
              </w:rPr>
              <w:t>品质管理部、铸轧车间、安全环保部、生产运营部、设备IT部、供应</w:t>
            </w:r>
            <w:r>
              <w:rPr>
                <w:rFonts w:hint="eastAsia" w:ascii="宋体" w:hAnsi="宋体" w:eastAsia="宋体" w:cs="宋体"/>
                <w:color w:val="auto"/>
                <w:szCs w:val="21"/>
              </w:rPr>
              <w:t>管理部</w:t>
            </w:r>
            <w:r>
              <w:rPr>
                <w:rFonts w:hint="eastAsia" w:ascii="宋体" w:hAnsi="宋体" w:eastAsia="宋体" w:cs="宋体"/>
                <w:color w:val="auto"/>
                <w:szCs w:val="21"/>
                <w:lang w:val="en-US" w:eastAsia="zh-CN"/>
              </w:rPr>
              <w:t>、市场营销部</w:t>
            </w:r>
            <w:r>
              <w:rPr>
                <w:rFonts w:hint="eastAsia" w:ascii="宋体" w:hAnsi="宋体" w:eastAsia="宋体" w:cs="宋体"/>
                <w:color w:val="auto"/>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10</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9</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lang w:val="en-US" w:eastAsia="zh-CN"/>
        </w:rPr>
        <w:t>内部审核</w:t>
      </w:r>
      <w:r>
        <w:rPr>
          <w:rFonts w:ascii="宋体" w:hAnsi="宋体"/>
          <w:bCs/>
          <w:color w:val="auto"/>
          <w:szCs w:val="21"/>
        </w:rPr>
        <w:t>，</w:t>
      </w:r>
      <w:r>
        <w:rPr>
          <w:rFonts w:hint="eastAsia" w:ascii="宋体" w:hAnsi="宋体"/>
          <w:bCs/>
          <w:color w:val="auto"/>
          <w:szCs w:val="21"/>
        </w:rPr>
        <w:t>内审分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10</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color w:val="auto"/>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24</w:t>
      </w:r>
      <w:r>
        <w:rPr>
          <w:rFonts w:hint="eastAsia"/>
          <w:color w:val="auto"/>
          <w:szCs w:val="21"/>
        </w:rPr>
        <w:t>日</w:t>
      </w:r>
      <w:r>
        <w:rPr>
          <w:color w:val="auto"/>
          <w:szCs w:val="21"/>
        </w:rPr>
        <w:t>开展</w:t>
      </w:r>
      <w:r>
        <w:rPr>
          <w:rFonts w:hint="eastAsia"/>
          <w:color w:val="auto"/>
          <w:szCs w:val="21"/>
        </w:rPr>
        <w:t>了</w:t>
      </w:r>
      <w:r>
        <w:rPr>
          <w:rFonts w:hint="eastAsia"/>
          <w:color w:val="auto"/>
          <w:szCs w:val="21"/>
          <w:lang w:val="en-US" w:eastAsia="zh-CN"/>
        </w:rPr>
        <w:t>测量</w:t>
      </w:r>
      <w:r>
        <w:rPr>
          <w:rFonts w:hint="eastAsia"/>
          <w:color w:val="auto"/>
          <w:szCs w:val="21"/>
        </w:rPr>
        <w:t>管理</w:t>
      </w:r>
      <w:r>
        <w:rPr>
          <w:rFonts w:hint="eastAsia"/>
          <w:color w:val="auto"/>
          <w:szCs w:val="21"/>
          <w:lang w:val="en-US" w:eastAsia="zh-CN"/>
        </w:rPr>
        <w:t>体系</w:t>
      </w:r>
      <w:r>
        <w:rPr>
          <w:rFonts w:hint="eastAsia"/>
          <w:color w:val="auto"/>
          <w:szCs w:val="21"/>
        </w:rPr>
        <w:t>评审，会议</w:t>
      </w:r>
      <w:r>
        <w:rPr>
          <w:color w:val="auto"/>
          <w:szCs w:val="21"/>
        </w:rPr>
        <w:t>由</w:t>
      </w:r>
      <w:r>
        <w:rPr>
          <w:rFonts w:hint="eastAsia"/>
          <w:color w:val="auto"/>
          <w:szCs w:val="21"/>
        </w:rPr>
        <w:t>公司总经理</w:t>
      </w:r>
      <w:r>
        <w:rPr>
          <w:rFonts w:hint="eastAsia"/>
          <w:color w:val="auto"/>
          <w:szCs w:val="21"/>
          <w:lang w:val="en-US" w:eastAsia="zh-CN"/>
        </w:rPr>
        <w:t>张旺</w:t>
      </w:r>
      <w:r>
        <w:rPr>
          <w:rFonts w:hint="eastAsia"/>
          <w:color w:val="auto"/>
          <w:szCs w:val="21"/>
        </w:rPr>
        <w:t>主持，由</w:t>
      </w:r>
      <w:r>
        <w:rPr>
          <w:color w:val="auto"/>
          <w:szCs w:val="21"/>
        </w:rPr>
        <w:t>管理者代表</w:t>
      </w:r>
      <w:r>
        <w:rPr>
          <w:rFonts w:hint="eastAsia"/>
          <w:color w:val="auto"/>
          <w:szCs w:val="21"/>
          <w:lang w:val="en-US" w:eastAsia="zh-CN"/>
        </w:rPr>
        <w:t>叶茂</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1</w:t>
      </w:r>
      <w:r>
        <w:rPr>
          <w:rFonts w:hint="eastAsia"/>
          <w:color w:val="auto"/>
          <w:szCs w:val="21"/>
        </w:rPr>
        <w:t>个方面的问题落实了整改部门。</w:t>
      </w:r>
    </w:p>
    <w:p>
      <w:pPr>
        <w:spacing w:line="276" w:lineRule="auto"/>
        <w:rPr>
          <w:rStyle w:val="9"/>
          <w:rFonts w:ascii="宋体" w:eastAsia="宋体"/>
          <w:color w:val="auto"/>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olor w:val="auto"/>
          <w:lang w:eastAsia="zh-CN"/>
        </w:rPr>
        <w:t>在制品参数</w:t>
      </w:r>
      <w:r>
        <w:rPr>
          <w:rFonts w:hint="eastAsia"/>
          <w:color w:val="auto"/>
          <w:lang w:val="en-US" w:eastAsia="zh-CN"/>
        </w:rPr>
        <w:t>(厚度)</w:t>
      </w:r>
      <w:r>
        <w:rPr>
          <w:rFonts w:hint="eastAsia"/>
          <w:color w:val="auto"/>
        </w:rPr>
        <w:t>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olor w:val="auto"/>
          <w:lang w:eastAsia="zh-CN"/>
        </w:rPr>
        <w:t>在制品参数</w:t>
      </w:r>
      <w:r>
        <w:rPr>
          <w:rFonts w:hint="eastAsia"/>
          <w:color w:val="auto"/>
          <w:lang w:val="en-US" w:eastAsia="zh-CN"/>
        </w:rPr>
        <w:t>(厚度)</w:t>
      </w:r>
      <w:r>
        <w:rPr>
          <w:rFonts w:hint="eastAsia"/>
          <w:color w:val="auto"/>
        </w:rPr>
        <w:t>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olor w:val="auto"/>
          <w:lang w:eastAsia="zh-CN"/>
        </w:rPr>
        <w:t>在制品参数</w:t>
      </w:r>
      <w:r>
        <w:rPr>
          <w:rFonts w:hint="eastAsia"/>
          <w:color w:val="auto"/>
          <w:lang w:val="en-US" w:eastAsia="zh-CN"/>
        </w:rPr>
        <w:t>(厚度)</w:t>
      </w:r>
      <w:r>
        <w:rPr>
          <w:rFonts w:hint="eastAsia"/>
          <w:color w:val="auto"/>
        </w:rPr>
        <w:t>测量过程，采用比对进行有效性确认，满足要求。祥见附件《测量过程有效性确认》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olor w:val="auto"/>
          <w:lang w:eastAsia="zh-CN"/>
        </w:rPr>
        <w:t>在制品参数</w:t>
      </w:r>
      <w:r>
        <w:rPr>
          <w:rFonts w:hint="eastAsia"/>
          <w:color w:val="auto"/>
          <w:lang w:val="en-US" w:eastAsia="zh-CN"/>
        </w:rPr>
        <w:t>(厚度)</w:t>
      </w:r>
      <w:r>
        <w:rPr>
          <w:rFonts w:hint="eastAsia"/>
          <w:color w:val="auto"/>
        </w:rPr>
        <w:t>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olor w:val="auto"/>
          <w:lang w:eastAsia="zh-CN"/>
        </w:rPr>
        <w:t>在制品参数</w:t>
      </w:r>
      <w:r>
        <w:rPr>
          <w:rFonts w:hint="eastAsia"/>
          <w:color w:val="auto"/>
          <w:lang w:val="en-US" w:eastAsia="zh-CN"/>
        </w:rPr>
        <w:t>(厚度)</w:t>
      </w:r>
      <w:r>
        <w:rPr>
          <w:rFonts w:hint="eastAsia"/>
          <w:color w:val="auto"/>
        </w:rPr>
        <w:t>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w:t>
      </w:r>
      <w:r>
        <w:rPr>
          <w:rFonts w:hint="eastAsia" w:ascii="宋体" w:hAnsi="宋体" w:eastAsia="宋体"/>
          <w:bCs/>
          <w:color w:val="auto"/>
          <w:szCs w:val="21"/>
          <w:lang w:val="en-US" w:eastAsia="zh-CN"/>
        </w:rPr>
        <w:t>计量</w:t>
      </w:r>
      <w:r>
        <w:rPr>
          <w:rFonts w:hint="eastAsia" w:ascii="宋体" w:hAnsi="宋体" w:eastAsia="宋体"/>
          <w:bCs/>
          <w:color w:val="auto"/>
          <w:szCs w:val="21"/>
        </w:rPr>
        <w:t>标准，企业测量设备</w:t>
      </w:r>
      <w:r>
        <w:rPr>
          <w:rFonts w:hint="eastAsia" w:ascii="宋体" w:hAnsi="宋体" w:eastAsia="宋体"/>
          <w:bCs/>
          <w:color w:val="auto"/>
          <w:szCs w:val="21"/>
          <w:lang w:val="en-US" w:eastAsia="zh-CN"/>
        </w:rPr>
        <w:t>均</w:t>
      </w:r>
      <w:r>
        <w:rPr>
          <w:rFonts w:hint="eastAsia" w:ascii="宋体" w:hAnsi="宋体" w:eastAsia="宋体"/>
          <w:bCs/>
          <w:color w:val="auto"/>
          <w:szCs w:val="21"/>
        </w:rPr>
        <w:t>外送</w:t>
      </w:r>
      <w:r>
        <w:rPr>
          <w:rFonts w:hint="eastAsia" w:ascii="Times New Roman" w:hAnsi="Times New Roman" w:eastAsia="宋体" w:cs="Times New Roman"/>
          <w:color w:val="auto"/>
          <w:szCs w:val="21"/>
        </w:rPr>
        <w:t>南昌市计量检定站</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江西省检验检测认证总院东华计量测试研究院</w:t>
      </w:r>
      <w:r>
        <w:rPr>
          <w:rFonts w:hint="eastAsia"/>
          <w:color w:val="auto"/>
          <w:szCs w:val="21"/>
        </w:rPr>
        <w:t>检定/校准。抽查</w:t>
      </w:r>
      <w:r>
        <w:rPr>
          <w:rFonts w:hint="eastAsia"/>
          <w:color w:val="auto"/>
          <w:szCs w:val="21"/>
          <w:lang w:val="en-US" w:eastAsia="zh-CN"/>
        </w:rPr>
        <w:t>8</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hint="default" w:ascii="宋体" w:hAnsi="宋体" w:eastAsia="宋体"/>
          <w:bCs/>
          <w:color w:val="auto"/>
          <w:szCs w:val="21"/>
          <w:lang w:val="en-US" w:eastAsia="zh-CN"/>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0.6011</w:t>
      </w:r>
      <w:r>
        <w:rPr>
          <w:rFonts w:hint="eastAsia" w:ascii="宋体" w:hAnsi="宋体" w:eastAsia="宋体"/>
          <w:bCs/>
          <w:color w:val="auto"/>
          <w:szCs w:val="21"/>
        </w:rPr>
        <w:t>万吨标准煤。</w:t>
      </w:r>
      <w:r>
        <w:rPr>
          <w:rFonts w:hint="eastAsia" w:ascii="宋体" w:hAnsi="宋体" w:eastAsia="宋体"/>
          <w:b/>
          <w:color w:val="auto"/>
          <w:szCs w:val="21"/>
        </w:rPr>
        <w:t>是</w:t>
      </w:r>
      <w:r>
        <w:rPr>
          <w:rFonts w:hint="eastAsia" w:ascii="宋体" w:hAnsi="宋体" w:eastAsia="宋体"/>
          <w:bCs/>
          <w:color w:val="auto"/>
          <w:szCs w:val="21"/>
        </w:rPr>
        <w:t xml:space="preserve">重点耗能单位，企业建立了能源管理网络图和能源测量设备明细表，能源测量设备配备率满足要求。进出用能单位，应配 </w:t>
      </w:r>
      <w:r>
        <w:rPr>
          <w:rFonts w:hint="eastAsia" w:ascii="宋体" w:hAnsi="宋体" w:eastAsia="宋体"/>
          <w:bCs/>
          <w:color w:val="auto"/>
          <w:szCs w:val="21"/>
          <w:lang w:val="en-US" w:eastAsia="zh-CN"/>
        </w:rPr>
        <w:t>4</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4</w:t>
      </w:r>
      <w:r>
        <w:rPr>
          <w:rFonts w:hint="eastAsia" w:ascii="宋体" w:hAnsi="宋体" w:eastAsia="宋体"/>
          <w:bCs/>
          <w:color w:val="auto"/>
          <w:szCs w:val="21"/>
        </w:rPr>
        <w:t>台（件）；进出主要次级用能单位，应配 ：</w:t>
      </w:r>
      <w:r>
        <w:rPr>
          <w:rFonts w:hint="eastAsia" w:ascii="宋体" w:hAnsi="宋体" w:eastAsia="宋体"/>
          <w:bCs/>
          <w:color w:val="auto"/>
          <w:szCs w:val="21"/>
          <w:lang w:val="en-US" w:eastAsia="zh-CN"/>
        </w:rPr>
        <w:t>32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32</w:t>
      </w:r>
      <w:r>
        <w:rPr>
          <w:rFonts w:hint="eastAsia" w:ascii="宋体" w:hAnsi="宋体" w:eastAsia="宋体"/>
          <w:bCs/>
          <w:color w:val="auto"/>
          <w:szCs w:val="21"/>
        </w:rPr>
        <w:t xml:space="preserve">台（件）；进出主要用能设备（单元）应配 </w:t>
      </w:r>
      <w:r>
        <w:rPr>
          <w:rFonts w:hint="eastAsia" w:ascii="宋体" w:hAnsi="宋体" w:eastAsia="宋体"/>
          <w:bCs/>
          <w:color w:val="auto"/>
          <w:szCs w:val="21"/>
          <w:lang w:val="en-US" w:eastAsia="zh-CN"/>
        </w:rPr>
        <w:t>64</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64</w:t>
      </w:r>
      <w:r>
        <w:rPr>
          <w:rFonts w:hint="eastAsia" w:ascii="宋体" w:hAnsi="宋体" w:eastAsia="宋体"/>
          <w:bCs/>
          <w:color w:val="auto"/>
          <w:szCs w:val="21"/>
        </w:rPr>
        <w:t>台（件）；现场抽查测量设备配备率满足要求，查测量设备检定/校准证书</w:t>
      </w:r>
      <w:r>
        <w:rPr>
          <w:rFonts w:hint="eastAsia" w:ascii="宋体" w:hAnsi="宋体" w:eastAsia="宋体"/>
          <w:bCs/>
          <w:color w:val="auto"/>
          <w:szCs w:val="21"/>
          <w:lang w:val="en-US" w:eastAsia="zh-CN"/>
        </w:rPr>
        <w:t>30</w:t>
      </w:r>
      <w:r>
        <w:rPr>
          <w:rFonts w:hint="eastAsia" w:ascii="宋体" w:hAnsi="宋体" w:eastAsia="宋体"/>
          <w:bCs/>
          <w:color w:val="auto"/>
          <w:szCs w:val="21"/>
        </w:rPr>
        <w:t>台件，经过检定/校准，测量设备检定和精度等级满足要求。公司大部分能源计量数据实现了实时数据采集，经现场抽查设备完好率为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%。经过对20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1-12</w:t>
      </w:r>
      <w:r>
        <w:rPr>
          <w:rFonts w:hint="eastAsia" w:ascii="宋体" w:hAnsi="宋体" w:eastAsia="宋体"/>
          <w:bCs/>
          <w:color w:val="auto"/>
          <w:szCs w:val="21"/>
        </w:rPr>
        <w:t>月能源报表的审核确认，能源报表数据、原始记录同步，并进行了损耗分析，对重要的能源数据能定期进行监视核查，能源计量管理满足GB17167要求。</w:t>
      </w:r>
      <w:r>
        <w:rPr>
          <w:rFonts w:hint="eastAsia" w:ascii="宋体" w:hAnsi="宋体" w:eastAsia="宋体"/>
          <w:bCs/>
          <w:color w:val="auto"/>
          <w:szCs w:val="21"/>
          <w:lang w:val="en-US" w:eastAsia="zh-CN"/>
        </w:rPr>
        <w:t>该企业2021年12月30日获得中国质量认证中心颁发的能源管理体系认证证书。</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spacing w:before="240" w:after="240"/>
        <w:rPr>
          <w:rFonts w:ascii="宋体" w:hAnsi="宋体" w:cs="宋体"/>
          <w:bCs/>
          <w:color w:val="auto"/>
          <w:kern w:val="0"/>
          <w:szCs w:val="21"/>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年外审开出了</w:t>
      </w:r>
      <w:r>
        <w:rPr>
          <w:rFonts w:hint="eastAsia" w:ascii="宋体" w:hAnsi="宋体" w:cs="宋体"/>
          <w:bCs/>
          <w:color w:val="auto"/>
          <w:kern w:val="0"/>
          <w:szCs w:val="21"/>
          <w:lang w:val="en-US" w:eastAsia="zh-CN"/>
        </w:rPr>
        <w:t>三</w:t>
      </w:r>
      <w:r>
        <w:rPr>
          <w:rFonts w:hint="eastAsia" w:ascii="宋体" w:hAnsi="宋体" w:cs="宋体"/>
          <w:bCs/>
          <w:color w:val="auto"/>
          <w:kern w:val="0"/>
          <w:szCs w:val="21"/>
        </w:rPr>
        <w:t>项不符合项报告：</w:t>
      </w:r>
      <w:r>
        <w:rPr>
          <w:rFonts w:hint="eastAsia" w:ascii="宋体" w:hAnsi="宋体" w:cs="宋体"/>
          <w:color w:val="auto"/>
          <w:kern w:val="0"/>
          <w:szCs w:val="21"/>
          <w:lang w:val="en-US" w:eastAsia="zh-CN"/>
        </w:rPr>
        <w:t>1、</w:t>
      </w:r>
      <w:r>
        <w:rPr>
          <w:rFonts w:hint="eastAsia" w:ascii="宋体" w:hAnsi="宋体" w:cs="宋体"/>
          <w:color w:val="auto"/>
          <w:kern w:val="0"/>
          <w:szCs w:val="21"/>
        </w:rPr>
        <w:t>在铸轧车间审核时，发现点型有毒气体探测（JTTBDZZJZ162)等5台设备提供不出送检记录。不符合认证审核准则GB/T19022-2003标准中7.1.1条款。</w:t>
      </w:r>
      <w:r>
        <w:rPr>
          <w:rFonts w:hint="eastAsia" w:ascii="宋体" w:hAnsi="宋体" w:cs="宋体"/>
          <w:color w:val="auto"/>
          <w:kern w:val="0"/>
          <w:szCs w:val="21"/>
          <w:lang w:val="en-US" w:eastAsia="zh-CN"/>
        </w:rPr>
        <w:t>2、</w:t>
      </w:r>
      <w:r>
        <w:rPr>
          <w:rFonts w:hint="eastAsia" w:ascii="宋体" w:hAnsi="宋体" w:cs="宋体"/>
          <w:color w:val="auto"/>
          <w:kern w:val="0"/>
          <w:szCs w:val="21"/>
        </w:rPr>
        <w:t>在生产运营部审核时，发现进出次级用能单位能源测量设备未进行检定/校准。不符合认证审核准则GB/T19022-2003标准中6.3.1条。</w:t>
      </w:r>
      <w:r>
        <w:rPr>
          <w:rFonts w:hint="eastAsia" w:ascii="宋体" w:hAnsi="宋体" w:cs="宋体"/>
          <w:color w:val="auto"/>
          <w:kern w:val="0"/>
          <w:szCs w:val="21"/>
          <w:lang w:val="en-US" w:eastAsia="zh-CN"/>
        </w:rPr>
        <w:t>3、</w:t>
      </w:r>
      <w:r>
        <w:rPr>
          <w:rFonts w:hint="eastAsia" w:ascii="宋体" w:hAnsi="宋体" w:cs="宋体"/>
          <w:color w:val="auto"/>
          <w:kern w:val="0"/>
          <w:szCs w:val="21"/>
        </w:rPr>
        <w:t>《原料入厂检验标准》文件中，规定了“青铜角料”的杂质元素验收标准，在“主成分含量符合标准的前提下”，没有规定“当不同杂质元素出现不同等级时”如何对“青铜角料”进行终级判定。不符合认证审核准则GB/T19022-2003标准中6.</w:t>
      </w:r>
      <w:r>
        <w:rPr>
          <w:rFonts w:hint="eastAsia" w:ascii="宋体" w:hAnsi="宋体" w:cs="宋体"/>
          <w:color w:val="auto"/>
          <w:kern w:val="0"/>
          <w:szCs w:val="21"/>
          <w:lang w:val="en-US" w:eastAsia="zh-CN"/>
        </w:rPr>
        <w:t>2</w:t>
      </w:r>
      <w:r>
        <w:rPr>
          <w:rFonts w:hint="eastAsia" w:ascii="宋体" w:hAnsi="宋体" w:cs="宋体"/>
          <w:color w:val="auto"/>
          <w:kern w:val="0"/>
          <w:szCs w:val="21"/>
        </w:rPr>
        <w:t>.1条。</w:t>
      </w:r>
    </w:p>
    <w:p>
      <w:pPr>
        <w:widowControl/>
        <w:jc w:val="left"/>
        <w:rPr>
          <w:rFonts w:hint="eastAsia" w:ascii="宋体" w:hAnsi="宋体" w:cs="宋体"/>
          <w:bCs/>
          <w:color w:val="auto"/>
          <w:kern w:val="0"/>
          <w:szCs w:val="21"/>
        </w:rPr>
      </w:pPr>
      <w:r>
        <w:rPr>
          <w:rFonts w:hint="eastAsia" w:ascii="宋体" w:hAnsi="宋体" w:cs="宋体"/>
          <w:bCs/>
          <w:color w:val="auto"/>
          <w:kern w:val="0"/>
          <w:szCs w:val="21"/>
        </w:rPr>
        <w:t>企业对不符合组织了纠正，1.</w:t>
      </w:r>
      <w:r>
        <w:rPr>
          <w:rFonts w:hint="eastAsia" w:ascii="宋体" w:hAnsi="宋体" w:cs="宋体"/>
          <w:color w:val="auto"/>
          <w:kern w:val="0"/>
          <w:szCs w:val="21"/>
        </w:rPr>
        <w:t>纠正措施的有效实施情况</w:t>
      </w:r>
      <w:r>
        <w:rPr>
          <w:rFonts w:hint="eastAsia" w:ascii="宋体" w:hAnsi="宋体" w:cs="宋体"/>
          <w:color w:val="auto"/>
          <w:kern w:val="0"/>
          <w:szCs w:val="21"/>
          <w:lang w:eastAsia="zh-CN"/>
        </w:rPr>
        <w:t>：1）一周内安排上门检测有毒气体探测设备。2）对设备台帐做相应更新。东莞凯威计量技术有限公司于11月27日对该类探测设备进行上门校准</w:t>
      </w:r>
      <w:r>
        <w:rPr>
          <w:rFonts w:hint="eastAsia" w:ascii="宋体" w:hAnsi="宋体" w:cs="宋体"/>
          <w:bCs/>
          <w:color w:val="auto"/>
          <w:kern w:val="0"/>
          <w:szCs w:val="21"/>
        </w:rPr>
        <w:t>；</w:t>
      </w:r>
    </w:p>
    <w:p>
      <w:pPr>
        <w:widowControl/>
        <w:jc w:val="left"/>
        <w:rPr>
          <w:rFonts w:hint="eastAsia" w:ascii="宋体" w:hAnsi="宋体" w:cs="宋体"/>
          <w:color w:val="auto"/>
          <w:kern w:val="0"/>
          <w:szCs w:val="21"/>
          <w:lang w:eastAsia="zh-CN"/>
        </w:rPr>
      </w:pPr>
      <w:r>
        <w:rPr>
          <w:rFonts w:hint="eastAsia" w:ascii="宋体" w:hAnsi="宋体" w:cs="宋体"/>
          <w:bCs/>
          <w:color w:val="auto"/>
          <w:kern w:val="0"/>
          <w:szCs w:val="21"/>
        </w:rPr>
        <w:t>2.</w:t>
      </w:r>
      <w:r>
        <w:rPr>
          <w:rFonts w:hint="eastAsia" w:ascii="宋体" w:hAnsi="宋体" w:cs="宋体"/>
          <w:color w:val="auto"/>
          <w:kern w:val="0"/>
          <w:szCs w:val="21"/>
        </w:rPr>
        <w:t>纠正措施的有效实施情况</w:t>
      </w:r>
      <w:r>
        <w:rPr>
          <w:rFonts w:hint="eastAsia" w:ascii="宋体" w:hAnsi="宋体" w:cs="宋体"/>
          <w:color w:val="auto"/>
          <w:kern w:val="0"/>
          <w:szCs w:val="21"/>
          <w:lang w:eastAsia="zh-CN"/>
        </w:rPr>
        <w:t>：1）用能测量设备计划分批完成。部分次级用能设备在12月2前完成送检。2）其余次级用能设备计划分6批完成，详见附页校准计划表。3）已校设备在能源设备台帐中做相应更新。于11月30日将部分次级电能表送至东华计量研究院校准；</w:t>
      </w:r>
    </w:p>
    <w:p>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3.</w:t>
      </w:r>
      <w:r>
        <w:rPr>
          <w:rFonts w:hint="eastAsia" w:ascii="宋体" w:hAnsi="宋体" w:cs="宋体"/>
          <w:color w:val="auto"/>
          <w:kern w:val="0"/>
          <w:szCs w:val="21"/>
        </w:rPr>
        <w:t>纠正措施的有效实施情况</w:t>
      </w:r>
      <w:r>
        <w:rPr>
          <w:rFonts w:hint="eastAsia" w:ascii="宋体" w:hAnsi="宋体" w:cs="宋体"/>
          <w:color w:val="auto"/>
          <w:kern w:val="0"/>
          <w:szCs w:val="21"/>
          <w:lang w:eastAsia="zh-CN"/>
        </w:rPr>
        <w:t>：1）对《原料入场检验标准》进行修订，明确终极判定原则。2）组织相关人员对新版文件进行培训。修改后的标准中3.3.4.2条款规定：如元素在不同等级时，</w:t>
      </w:r>
      <w:r>
        <w:rPr>
          <w:rFonts w:hint="eastAsia" w:ascii="宋体" w:hAnsi="宋体" w:cs="宋体"/>
          <w:color w:val="auto"/>
          <w:kern w:val="0"/>
          <w:szCs w:val="21"/>
          <w:lang w:val="en-US" w:eastAsia="zh-CN"/>
        </w:rPr>
        <w:t>已</w:t>
      </w:r>
      <w:r>
        <w:rPr>
          <w:rFonts w:hint="eastAsia" w:ascii="宋体" w:hAnsi="宋体" w:cs="宋体"/>
          <w:color w:val="auto"/>
          <w:kern w:val="0"/>
          <w:szCs w:val="21"/>
          <w:lang w:eastAsia="zh-CN"/>
        </w:rPr>
        <w:t>按最低等级进行验收。</w:t>
      </w:r>
    </w:p>
    <w:p>
      <w:pPr>
        <w:widowControl/>
        <w:jc w:val="left"/>
        <w:rPr>
          <w:rFonts w:cs="宋体" w:asciiTheme="minorEastAsia" w:hAnsiTheme="minorEastAsia"/>
          <w:color w:val="auto"/>
          <w:kern w:val="0"/>
          <w:szCs w:val="21"/>
        </w:rPr>
      </w:pPr>
      <w:r>
        <w:rPr>
          <w:rFonts w:hint="eastAsia" w:ascii="宋体" w:hAnsi="宋体" w:cs="宋体"/>
          <w:bCs/>
          <w:color w:val="auto"/>
          <w:kern w:val="0"/>
          <w:szCs w:val="21"/>
          <w:lang w:val="en-US" w:eastAsia="zh-CN"/>
        </w:rPr>
        <w:t>经</w:t>
      </w:r>
      <w:r>
        <w:rPr>
          <w:rFonts w:hint="eastAsia" w:ascii="宋体" w:hAnsi="宋体" w:cs="宋体"/>
          <w:bCs/>
          <w:color w:val="auto"/>
          <w:kern w:val="0"/>
          <w:szCs w:val="21"/>
        </w:rPr>
        <w:t>验证</w:t>
      </w:r>
      <w:r>
        <w:rPr>
          <w:rFonts w:hint="eastAsia" w:ascii="宋体" w:hAnsi="宋体" w:cs="宋体"/>
          <w:bCs/>
          <w:color w:val="auto"/>
          <w:kern w:val="0"/>
          <w:szCs w:val="21"/>
          <w:lang w:val="en-US" w:eastAsia="zh-CN"/>
        </w:rPr>
        <w:t>3个</w:t>
      </w:r>
      <w:r>
        <w:rPr>
          <w:rFonts w:hint="eastAsia" w:ascii="宋体" w:hAnsi="宋体" w:cs="宋体"/>
          <w:bCs/>
          <w:color w:val="auto"/>
          <w:kern w:val="0"/>
          <w:szCs w:val="21"/>
        </w:rPr>
        <w:t>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w:t>
      </w:r>
      <w:r>
        <w:rPr>
          <w:rFonts w:hint="eastAsia" w:cs="宋体" w:asciiTheme="minorEastAsia" w:hAnsiTheme="minorEastAsia"/>
          <w:bCs/>
          <w:color w:val="auto"/>
          <w:kern w:val="0"/>
          <w:szCs w:val="21"/>
          <w:lang w:val="en-US" w:eastAsia="zh-CN"/>
        </w:rPr>
        <w:t>至今</w:t>
      </w:r>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10</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2022年10</w:t>
      </w:r>
      <w:r>
        <w:rPr>
          <w:rFonts w:hint="eastAsia" w:ascii="宋体" w:hAnsi="宋体" w:eastAsia="宋体"/>
          <w:bCs/>
          <w:color w:val="auto"/>
          <w:szCs w:val="21"/>
        </w:rPr>
        <w:t>月质量目标完成情况检查表，按目标、措施、完成情况、未完成情况进行统计，记录内容全，每</w:t>
      </w:r>
      <w:r>
        <w:rPr>
          <w:rFonts w:hint="eastAsia" w:ascii="宋体" w:hAnsi="宋体" w:eastAsia="宋体"/>
          <w:bCs/>
          <w:color w:val="auto"/>
          <w:szCs w:val="21"/>
          <w:lang w:val="en-US" w:eastAsia="zh-CN"/>
        </w:rPr>
        <w:t>季度</w:t>
      </w:r>
      <w:r>
        <w:rPr>
          <w:rFonts w:hint="eastAsia" w:ascii="宋体" w:hAnsi="宋体" w:eastAsia="宋体"/>
          <w:bCs/>
          <w:color w:val="auto"/>
          <w:szCs w:val="21"/>
        </w:rPr>
        <w:t>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numPr>
          <w:ilvl w:val="0"/>
          <w:numId w:val="0"/>
        </w:numPr>
        <w:jc w:val="left"/>
        <w:rPr>
          <w:rFonts w:hint="default" w:ascii="Times New Roman" w:hAnsi="Times New Roman" w:eastAsia="宋体" w:cs="Times New Roman"/>
          <w:color w:val="auto"/>
          <w:lang w:val="en-US" w:eastAsia="zh-CN"/>
        </w:rPr>
      </w:pPr>
      <w:r>
        <w:rPr>
          <w:rFonts w:hint="eastAsia" w:asciiTheme="minorEastAsia" w:hAnsiTheme="minorEastAsia"/>
          <w:bCs/>
          <w:color w:val="auto"/>
          <w:szCs w:val="21"/>
        </w:rPr>
        <w:t>企业营业执照未发生变化。组织机构发生变化</w:t>
      </w:r>
      <w:r>
        <w:rPr>
          <w:rFonts w:hint="eastAsia" w:asciiTheme="minorEastAsia" w:hAnsiTheme="minorEastAsia"/>
          <w:bCs/>
          <w:color w:val="auto"/>
          <w:szCs w:val="21"/>
          <w:lang w:eastAsia="zh-CN"/>
        </w:rPr>
        <w:t>，</w:t>
      </w:r>
      <w:r>
        <w:rPr>
          <w:rFonts w:hint="eastAsia" w:ascii="Times New Roman" w:hAnsi="Times New Roman" w:eastAsia="宋体" w:cs="Times New Roman"/>
          <w:color w:val="auto"/>
          <w:lang w:val="en-US" w:eastAsia="zh-CN"/>
        </w:rPr>
        <w:t>公司把生产运营部的设备管理以及能源管理职能和综合管理部的信息化管理职能均划入新成立的设备 IT 部。</w:t>
      </w:r>
    </w:p>
    <w:p>
      <w:pPr>
        <w:widowControl/>
        <w:spacing w:line="276" w:lineRule="auto"/>
        <w:rPr>
          <w:rFonts w:asciiTheme="minorEastAsia" w:hAnsiTheme="minorEastAsia"/>
          <w:bCs/>
          <w:color w:val="auto"/>
          <w:szCs w:val="21"/>
        </w:rPr>
      </w:pP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pacing w:before="156" w:beforeLines="50" w:line="360" w:lineRule="auto"/>
        <w:ind w:right="-512" w:rightChars="-244"/>
        <w:rPr>
          <w:rFonts w:ascii="宋体" w:hAnsi="宋体"/>
          <w:color w:val="auto"/>
          <w:szCs w:val="21"/>
        </w:rPr>
      </w:pPr>
      <w:r>
        <w:rPr>
          <w:rFonts w:hint="eastAsia"/>
          <w:color w:val="auto"/>
        </w:rPr>
        <w:t>1</w:t>
      </w:r>
      <w:r>
        <w:rPr>
          <w:color w:val="auto"/>
        </w:rPr>
        <w:t>0.本次监督审核未发现严重不符合项</w:t>
      </w:r>
      <w:r>
        <w:rPr>
          <w:rFonts w:hint="eastAsia"/>
          <w:color w:val="auto"/>
        </w:rPr>
        <w:t>，发现一般</w:t>
      </w:r>
      <w:r>
        <w:rPr>
          <w:color w:val="auto"/>
        </w:rPr>
        <w:t>不符合项</w:t>
      </w:r>
      <w:r>
        <w:rPr>
          <w:rFonts w:hint="eastAsia"/>
          <w:color w:val="auto"/>
          <w:lang w:val="en-US" w:eastAsia="zh-CN"/>
        </w:rPr>
        <w:t>2</w:t>
      </w:r>
      <w:r>
        <w:rPr>
          <w:rFonts w:hint="eastAsia"/>
          <w:color w:val="auto"/>
        </w:rPr>
        <w:t>项</w:t>
      </w:r>
      <w:r>
        <w:rPr>
          <w:color w:val="auto"/>
        </w:rPr>
        <w:t>。</w:t>
      </w:r>
      <w:r>
        <w:rPr>
          <w:rFonts w:hint="eastAsia" w:ascii="宋体" w:hAnsi="宋体"/>
          <w:color w:val="auto"/>
          <w:szCs w:val="21"/>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color w:val="auto"/>
          <w:u w:val="none"/>
          <w:lang w:val="en-US" w:eastAsia="zh-CN"/>
        </w:rPr>
      </w:pPr>
      <w:r>
        <w:rPr>
          <w:rFonts w:hint="eastAsia" w:ascii="宋体" w:hAnsi="宋体" w:cs="宋体"/>
          <w:color w:val="auto"/>
          <w:kern w:val="0"/>
          <w:szCs w:val="21"/>
          <w:lang w:val="en-US" w:eastAsia="zh-CN"/>
        </w:rPr>
        <w:t>1）在</w:t>
      </w:r>
      <w:r>
        <w:rPr>
          <w:rFonts w:hint="eastAsia" w:ascii="宋体" w:hAnsi="宋体" w:eastAsia="宋体" w:cs="宋体"/>
          <w:color w:val="auto"/>
          <w:szCs w:val="21"/>
          <w:lang w:val="en-US" w:eastAsia="zh-CN"/>
        </w:rPr>
        <w:t>安全环保部</w:t>
      </w:r>
      <w:r>
        <w:rPr>
          <w:rFonts w:hint="eastAsia" w:ascii="宋体" w:hAnsi="宋体" w:cs="宋体"/>
          <w:color w:val="auto"/>
          <w:szCs w:val="21"/>
          <w:lang w:val="en-US" w:eastAsia="zh-CN"/>
        </w:rPr>
        <w:t>审核时，发现编号201905241B01693可燃气体报警器没有纳入该单位测量设备管理台账中。</w:t>
      </w:r>
      <w:r>
        <w:rPr>
          <w:rFonts w:ascii="宋体" w:hAnsi="宋体" w:cs="宋体"/>
          <w:color w:val="auto"/>
          <w:kern w:val="0"/>
          <w:szCs w:val="21"/>
        </w:rPr>
        <w:t>不符</w:t>
      </w:r>
      <w:r>
        <w:rPr>
          <w:rFonts w:ascii="宋体" w:hAnsi="宋体" w:eastAsia="宋体" w:cs="宋体"/>
          <w:color w:val="auto"/>
          <w:kern w:val="0"/>
          <w:szCs w:val="21"/>
        </w:rPr>
        <w:t>合</w:t>
      </w:r>
      <w:r>
        <w:rPr>
          <w:rFonts w:hint="eastAsia" w:ascii="宋体" w:hAnsi="宋体" w:eastAsia="宋体" w:cs="宋体"/>
          <w:color w:val="auto"/>
          <w:kern w:val="0"/>
          <w:szCs w:val="21"/>
        </w:rPr>
        <w:t>认证</w:t>
      </w:r>
      <w:r>
        <w:rPr>
          <w:rStyle w:val="9"/>
          <w:rFonts w:ascii="宋体" w:hAnsi="宋体" w:eastAsia="宋体"/>
          <w:color w:val="auto"/>
          <w:sz w:val="21"/>
          <w:szCs w:val="21"/>
          <w:lang w:val="zh-CN"/>
        </w:rPr>
        <w:t>审核准则</w:t>
      </w:r>
      <w:r>
        <w:rPr>
          <w:rFonts w:ascii="宋体" w:hAnsi="宋体" w:eastAsia="宋体" w:cs="宋体"/>
          <w:color w:val="auto"/>
          <w:kern w:val="0"/>
          <w:szCs w:val="21"/>
        </w:rPr>
        <w:t>条</w:t>
      </w:r>
      <w:r>
        <w:rPr>
          <w:rFonts w:ascii="宋体" w:hAnsi="宋体" w:cs="宋体"/>
          <w:color w:val="auto"/>
          <w:kern w:val="0"/>
          <w:szCs w:val="21"/>
        </w:rPr>
        <w:t>款号：</w:t>
      </w:r>
      <w:r>
        <w:rPr>
          <w:rFonts w:hint="eastAsia" w:ascii="宋体" w:hAnsi="宋体" w:cs="Times New Roman"/>
          <w:color w:val="auto"/>
          <w:u w:val="none"/>
        </w:rPr>
        <w:t>GB/T19022-2003</w:t>
      </w:r>
      <w:r>
        <w:rPr>
          <w:rFonts w:hint="eastAsia" w:ascii="宋体" w:hAnsi="宋体"/>
          <w:color w:val="auto"/>
          <w:u w:val="none"/>
        </w:rPr>
        <w:t>标准中</w:t>
      </w:r>
      <w:r>
        <w:rPr>
          <w:rFonts w:hint="eastAsia" w:ascii="宋体" w:hAnsi="宋体"/>
          <w:color w:val="auto"/>
          <w:u w:val="none"/>
          <w:lang w:val="en-US" w:eastAsia="zh-CN"/>
        </w:rPr>
        <w:t xml:space="preserve">6.3.1 </w:t>
      </w:r>
      <w:r>
        <w:rPr>
          <w:rFonts w:hint="eastAsia" w:ascii="宋体" w:hAnsi="宋体"/>
          <w:color w:val="auto"/>
          <w:u w:val="none"/>
        </w:rPr>
        <w:t>条</w:t>
      </w:r>
      <w:r>
        <w:rPr>
          <w:rFonts w:hint="eastAsia" w:ascii="宋体" w:hAnsi="宋体"/>
          <w:color w:val="auto"/>
          <w:u w:val="none"/>
          <w:lang w:val="en-US" w:eastAsia="zh-CN"/>
        </w:rPr>
        <w:t xml:space="preserve"> ，为次要不符合项。</w:t>
      </w:r>
    </w:p>
    <w:p>
      <w:pPr>
        <w:widowControl/>
        <w:spacing w:line="360" w:lineRule="auto"/>
        <w:jc w:val="left"/>
        <w:rPr>
          <w:rFonts w:ascii="宋体" w:hAnsi="宋体"/>
          <w:color w:val="auto"/>
          <w:szCs w:val="21"/>
        </w:rPr>
      </w:pPr>
      <w:r>
        <w:rPr>
          <w:rFonts w:hint="eastAsia" w:ascii="宋体" w:hAnsi="宋体"/>
          <w:color w:val="auto"/>
          <w:szCs w:val="21"/>
          <w:lang w:val="en-US" w:eastAsia="zh-CN"/>
        </w:rPr>
        <w:t>2）</w:t>
      </w:r>
      <w:r>
        <w:rPr>
          <w:rFonts w:hint="eastAsia" w:ascii="宋体" w:hAnsi="宋体" w:cs="宋体"/>
          <w:color w:val="auto"/>
          <w:kern w:val="0"/>
          <w:szCs w:val="21"/>
        </w:rPr>
        <w:t>在铸轧车间审核时，发现编号为</w:t>
      </w:r>
      <w:r>
        <w:rPr>
          <w:rFonts w:hint="eastAsia" w:ascii="宋体" w:hAnsi="宋体"/>
          <w:color w:val="auto"/>
          <w:szCs w:val="21"/>
        </w:rPr>
        <w:t>RZ194的双金属温度计</w:t>
      </w:r>
      <w:r>
        <w:rPr>
          <w:rFonts w:hint="eastAsia" w:ascii="宋体" w:hAnsi="宋体" w:cs="宋体"/>
          <w:color w:val="auto"/>
          <w:kern w:val="0"/>
          <w:szCs w:val="21"/>
        </w:rPr>
        <w:t>，</w:t>
      </w:r>
      <w:r>
        <w:rPr>
          <w:rFonts w:hint="eastAsia" w:ascii="宋体" w:hAnsi="宋体"/>
          <w:color w:val="auto"/>
          <w:szCs w:val="21"/>
        </w:rPr>
        <w:t>0</w:t>
      </w:r>
      <w:r>
        <w:rPr>
          <w:rFonts w:hint="eastAsia" w:ascii="宋体" w:hAnsi="宋体" w:cs="宋体"/>
          <w:color w:val="auto"/>
          <w:szCs w:val="21"/>
        </w:rPr>
        <w:t>-100℃，经江西省检验检测认证总院东华计量测试研究院进行校准,有效期2022.10.17-2023.10.16，</w:t>
      </w:r>
      <w:r>
        <w:rPr>
          <w:rFonts w:hint="eastAsia" w:ascii="宋体" w:hAnsi="宋体" w:cs="宋体"/>
          <w:color w:val="auto"/>
          <w:kern w:val="0"/>
          <w:szCs w:val="21"/>
        </w:rPr>
        <w:t>该设备校准回来后未进行计量确认。</w:t>
      </w:r>
      <w:r>
        <w:rPr>
          <w:rFonts w:ascii="宋体" w:hAnsi="宋体"/>
          <w:color w:val="auto"/>
          <w:szCs w:val="21"/>
        </w:rPr>
        <w:t>不符合</w:t>
      </w:r>
      <w:r>
        <w:rPr>
          <w:rFonts w:hint="eastAsia" w:ascii="宋体" w:hAnsi="宋体"/>
          <w:color w:val="auto"/>
          <w:szCs w:val="21"/>
        </w:rPr>
        <w:t>认证</w:t>
      </w:r>
      <w:r>
        <w:rPr>
          <w:rFonts w:ascii="宋体" w:hAnsi="宋体"/>
          <w:color w:val="auto"/>
          <w:szCs w:val="21"/>
        </w:rPr>
        <w:t>审核准则条款号：</w:t>
      </w:r>
      <w:r>
        <w:rPr>
          <w:rFonts w:hint="eastAsia" w:ascii="宋体" w:hAnsi="宋体"/>
          <w:color w:val="auto"/>
          <w:szCs w:val="21"/>
        </w:rPr>
        <w:t xml:space="preserve"> GB/T19022-2003</w:t>
      </w:r>
      <w:r>
        <w:rPr>
          <w:rFonts w:ascii="宋体" w:hAnsi="宋体"/>
          <w:color w:val="auto"/>
          <w:szCs w:val="21"/>
        </w:rPr>
        <w:t>中</w:t>
      </w:r>
      <w:r>
        <w:rPr>
          <w:rFonts w:hint="eastAsia" w:ascii="宋体" w:hAnsi="宋体"/>
          <w:color w:val="auto"/>
          <w:szCs w:val="21"/>
          <w:lang w:val="en-US" w:eastAsia="zh-CN"/>
        </w:rPr>
        <w:t>7.1.1</w:t>
      </w:r>
      <w:r>
        <w:rPr>
          <w:rFonts w:hint="eastAsia" w:ascii="宋体" w:hAnsi="宋体"/>
          <w:color w:val="auto"/>
          <w:szCs w:val="21"/>
        </w:rPr>
        <w:t>的要求 ，为</w:t>
      </w:r>
      <w:r>
        <w:rPr>
          <w:rFonts w:ascii="宋体" w:hAnsi="宋体"/>
          <w:color w:val="auto"/>
          <w:szCs w:val="21"/>
        </w:rPr>
        <w:t>次要不符合</w:t>
      </w:r>
      <w:r>
        <w:rPr>
          <w:rFonts w:hint="eastAsia" w:ascii="宋体" w:hAnsi="宋体"/>
          <w:color w:val="auto"/>
          <w:szCs w:val="21"/>
        </w:rPr>
        <w:t xml:space="preserve"> 。</w:t>
      </w:r>
    </w:p>
    <w:p>
      <w:pPr>
        <w:widowControl/>
        <w:spacing w:line="276" w:lineRule="auto"/>
        <w:ind w:firstLine="420" w:firstLineChars="200"/>
        <w:rPr>
          <w:rFonts w:hint="eastAsia" w:cs="宋体" w:asciiTheme="minorEastAsia" w:hAnsiTheme="minorEastAsia"/>
          <w:bCs/>
          <w:color w:val="auto"/>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jc w:val="left"/>
        <w:textAlignment w:val="auto"/>
        <w:rPr>
          <w:color w:val="auto"/>
        </w:rPr>
      </w:pPr>
      <w:r>
        <w:rPr>
          <w:rFonts w:hint="eastAsia"/>
          <w:color w:val="auto"/>
          <w:lang w:val="en-US" w:eastAsia="zh-CN"/>
        </w:rPr>
        <w:t>11.</w:t>
      </w:r>
      <w:r>
        <w:rPr>
          <w:color w:val="auto"/>
        </w:rPr>
        <w:t>涉及产品的销售和售后、维修业务与测量管理体系有关内容的审核情况：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firstLine="420" w:firstLineChars="200"/>
        <w:jc w:val="left"/>
        <w:textAlignment w:val="auto"/>
        <w:rPr>
          <w:rFonts w:hint="eastAsia" w:ascii="宋体" w:hAnsi="宋体"/>
          <w:color w:val="auto"/>
        </w:rPr>
      </w:pPr>
      <w:r>
        <w:rPr>
          <w:rFonts w:hint="eastAsia" w:ascii="宋体" w:hAnsi="宋体"/>
          <w:color w:val="auto"/>
        </w:rPr>
        <w:t>抽查江西铜业集团铜板带有限公司铜产品买卖合同，合同编号TBD2022-9-140，签订时间2022年9月21日。确认该公司对应的产品生产过程涉及有对应的测量过程和测量设备，测量设备游标卡尺、电子台秤、电子汽车衡、压力表、拉力试验机、酸度计、里氏硬度计等的配备可满足该合同产品的生产和检验要求。</w:t>
      </w:r>
    </w:p>
    <w:p>
      <w:pPr>
        <w:widowControl/>
        <w:spacing w:line="276" w:lineRule="auto"/>
        <w:ind w:firstLine="420" w:firstLineChars="200"/>
        <w:rPr>
          <w:rFonts w:hint="eastAsia" w:cs="宋体" w:asciiTheme="minorEastAsia" w:hAnsiTheme="minorEastAsia"/>
          <w:bCs/>
          <w:color w:val="auto"/>
          <w:kern w:val="0"/>
          <w:szCs w:val="21"/>
        </w:rPr>
      </w:pPr>
      <w:r>
        <w:rPr>
          <w:rFonts w:hint="eastAsia" w:ascii="宋体" w:hAnsi="宋体"/>
          <w:color w:val="auto"/>
        </w:rPr>
        <w:t>抽查江西铜业集团铜板带有限公司铜产品买卖合同，合同编号TBD2022-9-139，签订时间2022年9月21日,有质量保证及售后服务条款，其中：“二、技术标准及质量：卖方按日标企业标准组织生产，买方针对有异议的产品需在货到壹周内提出，并将有异议铜带、制成半成品或成品保留，卖方在24小时内响应。经双方确认，属于卖方产品质量问题的，卖方负责退换补货，但不承担连带责任。产品质保期为货到180天。”</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11</w:t>
      </w:r>
      <w:bookmarkStart w:id="11" w:name="_GoBack"/>
      <w:bookmarkEnd w:id="11"/>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02</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下午03</w:t>
      </w:r>
      <w:r>
        <w:rPr>
          <w:rStyle w:val="10"/>
          <w:rFonts w:hint="eastAsia" w:ascii="宋体" w:hAnsi="宋体" w:eastAsia="宋体"/>
          <w:color w:val="auto"/>
          <w:sz w:val="21"/>
          <w:szCs w:val="21"/>
        </w:rPr>
        <w:t>日，</w:t>
      </w:r>
      <w:r>
        <w:rPr>
          <w:rStyle w:val="10"/>
          <w:rFonts w:ascii="宋体" w:hAnsi="宋体" w:eastAsia="宋体"/>
          <w:color w:val="auto"/>
          <w:sz w:val="21"/>
          <w:szCs w:val="21"/>
        </w:rPr>
        <w:t>对</w:t>
      </w:r>
      <w:r>
        <w:rPr>
          <w:rFonts w:cs="宋体" w:asciiTheme="minorEastAsia" w:hAnsiTheme="minorEastAsia"/>
          <w:color w:val="auto"/>
          <w:kern w:val="0"/>
          <w:szCs w:val="21"/>
        </w:rPr>
        <w:t>江西铜业集团铜板带有限公司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未</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江西铜业集团铜板带有限公司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eastAsia="宋体"/>
          <w:color w:val="000000"/>
          <w:szCs w:val="21"/>
          <w:lang w:eastAsia="zh-CN"/>
        </w:rPr>
        <w:drawing>
          <wp:inline distT="0" distB="0" distL="114300" distR="114300">
            <wp:extent cx="992505" cy="510540"/>
            <wp:effectExtent l="0" t="0" r="13335" b="7620"/>
            <wp:docPr id="2"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郭小红"/>
                    <pic:cNvPicPr>
                      <a:picLocks noChangeAspect="1"/>
                    </pic:cNvPicPr>
                  </pic:nvPicPr>
                  <pic:blipFill>
                    <a:blip r:embed="rId6"/>
                    <a:stretch>
                      <a:fillRect/>
                    </a:stretch>
                  </pic:blipFill>
                  <pic:spPr>
                    <a:xfrm>
                      <a:off x="0" y="0"/>
                      <a:ext cx="992505" cy="51054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2022.11.03</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drawing>
          <wp:inline distT="0" distB="0" distL="114300" distR="114300">
            <wp:extent cx="597535" cy="465455"/>
            <wp:effectExtent l="0" t="0" r="12065" b="6985"/>
            <wp:docPr id="4" name="图片 4" descr="周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周彤"/>
                    <pic:cNvPicPr>
                      <a:picLocks noChangeAspect="1"/>
                    </pic:cNvPicPr>
                  </pic:nvPicPr>
                  <pic:blipFill>
                    <a:blip r:embed="rId7"/>
                    <a:stretch>
                      <a:fillRect/>
                    </a:stretch>
                  </pic:blipFill>
                  <pic:spPr>
                    <a:xfrm>
                      <a:off x="0" y="0"/>
                      <a:ext cx="597535" cy="465455"/>
                    </a:xfrm>
                    <a:prstGeom prst="rect">
                      <a:avLst/>
                    </a:prstGeom>
                  </pic:spPr>
                </pic:pic>
              </a:graphicData>
            </a:graphic>
          </wp:inline>
        </w:drawing>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2022.11.03</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3661BFA"/>
    <w:rsid w:val="0E3B2429"/>
    <w:rsid w:val="0E99714E"/>
    <w:rsid w:val="16DF3B6C"/>
    <w:rsid w:val="1AC471F2"/>
    <w:rsid w:val="1F6572B9"/>
    <w:rsid w:val="27C37C82"/>
    <w:rsid w:val="2EBC6814"/>
    <w:rsid w:val="3A485400"/>
    <w:rsid w:val="440C2484"/>
    <w:rsid w:val="54B57634"/>
    <w:rsid w:val="580E7831"/>
    <w:rsid w:val="59163CC6"/>
    <w:rsid w:val="5F4A0FD8"/>
    <w:rsid w:val="605204D7"/>
    <w:rsid w:val="65DD1B2F"/>
    <w:rsid w:val="6C9F4AA4"/>
    <w:rsid w:val="6CC664D5"/>
    <w:rsid w:val="7B877215"/>
    <w:rsid w:val="7DAD1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2022-11-15T08:14:50Z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04737590849E4FE985191780F4CA8D4A</vt:lpwstr>
  </property>
</Properties>
</file>