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503"/>
        <w:gridCol w:w="960"/>
        <w:gridCol w:w="382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spacing w:line="252" w:lineRule="auto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spacing w:line="252" w:lineRule="auto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</w:tc>
        <w:tc>
          <w:tcPr>
            <w:tcW w:w="503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0" w:lineRule="atLeas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业务部</w:t>
            </w:r>
          </w:p>
          <w:p>
            <w:pPr>
              <w:spacing w:line="25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eastAsia="宋体"/>
                <w:lang w:eastAsia="zh-CN"/>
              </w:rPr>
              <w:t>综合部</w:t>
            </w:r>
          </w:p>
        </w:tc>
        <w:tc>
          <w:tcPr>
            <w:tcW w:w="382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sym w:font="Wingdings 2" w:char="0052"/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1（9.1.3）</w:t>
            </w: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216E88"/>
    <w:rsid w:val="2BD845A2"/>
    <w:rsid w:val="69064C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PMingLiU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0</TotalTime>
  <ScaleCrop>false</ScaleCrop>
  <LinksUpToDate>false</LinksUpToDate>
  <CharactersWithSpaces>3998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张</cp:lastModifiedBy>
  <cp:lastPrinted>2019-05-13T03:05:00Z</cp:lastPrinted>
  <dcterms:modified xsi:type="dcterms:W3CDTF">2020-01-05T05:07:48Z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