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1172-2021-E-2022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启源电气股份有限公司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启源电气股份有限公司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河北省任丘市麻家坞镇刘家泊村村西</w:t>
            </w:r>
            <w:bookmarkEnd w:id="6"/>
          </w:p>
        </w:tc>
        <w:tc>
          <w:tcPr>
            <w:tcW w:w="1242" w:type="dxa"/>
            <w:vMerge w:val="restart"/>
            <w:vAlign w:val="center"/>
          </w:tcPr>
          <w:p>
            <w:r>
              <w:rPr>
                <w:rFonts w:hint="eastAsia"/>
              </w:rPr>
              <w:t>邮编</w:t>
            </w:r>
          </w:p>
        </w:tc>
        <w:tc>
          <w:tcPr>
            <w:tcW w:w="1771" w:type="dxa"/>
          </w:tcPr>
          <w:p>
            <w:bookmarkStart w:id="7" w:name="注册邮编"/>
            <w:r>
              <w:t>062550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河北省沧州市任丘市麻家坞镇刘泊村创业路8号</w:t>
            </w:r>
            <w:bookmarkEnd w:id="8"/>
          </w:p>
        </w:tc>
        <w:tc>
          <w:tcPr>
            <w:tcW w:w="1242" w:type="dxa"/>
            <w:vMerge w:val="continue"/>
            <w:vAlign w:val="center"/>
          </w:tcPr>
          <w:p/>
        </w:tc>
        <w:tc>
          <w:tcPr>
            <w:tcW w:w="1771" w:type="dxa"/>
          </w:tcPr>
          <w:p>
            <w:bookmarkStart w:id="9" w:name="办公邮编"/>
            <w:r>
              <w:t>062550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何玉峰</w:t>
            </w:r>
            <w:bookmarkEnd w:id="10"/>
          </w:p>
        </w:tc>
        <w:tc>
          <w:tcPr>
            <w:tcW w:w="1313" w:type="dxa"/>
            <w:vAlign w:val="center"/>
          </w:tcPr>
          <w:p>
            <w:r>
              <w:rPr>
                <w:rFonts w:hint="eastAsia"/>
              </w:rPr>
              <w:t>电话.</w:t>
            </w:r>
          </w:p>
        </w:tc>
        <w:tc>
          <w:tcPr>
            <w:tcW w:w="2180" w:type="dxa"/>
            <w:vAlign w:val="center"/>
          </w:tcPr>
          <w:p>
            <w:bookmarkStart w:id="11" w:name="联系人电话"/>
            <w:r>
              <w:t>0317-2866666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关德宾</w:t>
            </w:r>
            <w:bookmarkEnd w:id="13"/>
          </w:p>
        </w:tc>
        <w:tc>
          <w:tcPr>
            <w:tcW w:w="1313" w:type="dxa"/>
            <w:vAlign w:val="center"/>
          </w:tcPr>
          <w:p>
            <w:r>
              <w:rPr>
                <w:rFonts w:hint="eastAsia"/>
              </w:rPr>
              <w:t>管理者代表</w:t>
            </w:r>
          </w:p>
        </w:tc>
        <w:tc>
          <w:tcPr>
            <w:tcW w:w="2180" w:type="dxa"/>
          </w:tcPr>
          <w:p>
            <w:bookmarkStart w:id="14" w:name="管理者代表"/>
            <w:r>
              <w:t>何玉峰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vAlign w:val="top"/>
          </w:tcPr>
          <w:p>
            <w:pPr>
              <w:tabs>
                <w:tab w:val="left" w:pos="972"/>
              </w:tabs>
              <w:spacing w:line="500" w:lineRule="atLeast"/>
              <w:rPr>
                <w:rFonts w:hint="eastAsia" w:ascii="宋体" w:hAnsi="宋体"/>
              </w:rPr>
            </w:pPr>
            <w:r>
              <w:rPr>
                <w:rFonts w:hint="eastAsia" w:ascii="宋体" w:hAnsi="宋体"/>
              </w:rPr>
              <w:t>接到订单-评审-签合同-采购-进货(检验)-销售（包括运输送货）-客户签收-满意度调查</w:t>
            </w:r>
          </w:p>
          <w:p>
            <w:pPr>
              <w:rPr>
                <w:rFonts w:ascii="Times New Roman" w:hAnsi="Times New Roman" w:eastAsia="宋体" w:cs="Times New Roman"/>
                <w:kern w:val="2"/>
                <w:sz w:val="21"/>
                <w:szCs w:val="24"/>
                <w:lang w:val="en-US" w:eastAsia="zh-CN" w:bidi="ar-SA"/>
              </w:rPr>
            </w:pPr>
            <w:r>
              <w:rPr>
                <w:rFonts w:hint="eastAsia"/>
                <w:sz w:val="32"/>
                <w:szCs w:val="28"/>
              </w:rPr>
              <w:br w:type="page"/>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2022年10月28日 上午至2022年10月28日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河北省沧州市任丘市麻家坞镇刘泊村创业路8号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铁构件（横担、抱箍、拉线棒）、复合绝缘子、隔离开关、高压熔断器、氧化锌避雷器、金属制品（井盖）、电线电缆销售所涉及场所的相关环境管理活动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2018</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20-21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12</w:t>
            </w:r>
            <w:r>
              <w:rPr>
                <w:rFonts w:hint="eastAsia"/>
              </w:rPr>
              <w:t>月</w:t>
            </w:r>
            <w:r>
              <w:rPr>
                <w:rFonts w:hint="eastAsia"/>
                <w:lang w:val="en-US" w:eastAsia="zh-CN"/>
              </w:rPr>
              <w:t>13</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59"/>
        <w:gridCol w:w="790"/>
        <w:gridCol w:w="2310"/>
        <w:gridCol w:w="16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59" w:type="dxa"/>
            <w:shd w:val="clear" w:color="auto" w:fill="F3F3F3"/>
            <w:tcMar>
              <w:left w:w="57" w:type="dxa"/>
              <w:right w:w="57" w:type="dxa"/>
            </w:tcMar>
          </w:tcPr>
          <w:p>
            <w:r>
              <w:rPr>
                <w:rFonts w:hint="eastAsia"/>
              </w:rPr>
              <w:t>经营场所的地址</w:t>
            </w:r>
          </w:p>
          <w:p>
            <w:r>
              <w:rPr>
                <w:rFonts w:hint="eastAsia"/>
              </w:rPr>
              <w:t>（多现场和临时现场）</w:t>
            </w:r>
          </w:p>
        </w:tc>
        <w:tc>
          <w:tcPr>
            <w:tcW w:w="790" w:type="dxa"/>
            <w:shd w:val="clear" w:color="auto" w:fill="F3F3F3"/>
            <w:tcMar>
              <w:left w:w="57" w:type="dxa"/>
              <w:right w:w="57" w:type="dxa"/>
            </w:tcMar>
          </w:tcPr>
          <w:p>
            <w:r>
              <w:rPr>
                <w:rFonts w:hint="eastAsia"/>
              </w:rPr>
              <w:t>员工人数</w:t>
            </w:r>
          </w:p>
        </w:tc>
        <w:tc>
          <w:tcPr>
            <w:tcW w:w="2310" w:type="dxa"/>
            <w:shd w:val="clear" w:color="auto" w:fill="F3F3F3"/>
            <w:tcMar>
              <w:left w:w="57" w:type="dxa"/>
              <w:right w:w="57" w:type="dxa"/>
            </w:tcMar>
          </w:tcPr>
          <w:p>
            <w:r>
              <w:rPr>
                <w:rFonts w:hint="eastAsia"/>
              </w:rPr>
              <w:t>审核范围（产品和过程）</w:t>
            </w:r>
          </w:p>
          <w:p/>
          <w:p/>
        </w:tc>
        <w:tc>
          <w:tcPr>
            <w:tcW w:w="16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启源电气股份有限公司</w:t>
            </w:r>
            <w:r>
              <w:rPr>
                <w:rFonts w:hint="eastAsia" w:asciiTheme="minorEastAsia" w:hAnsiTheme="minorEastAsia" w:eastAsiaTheme="minorEastAsia"/>
                <w:sz w:val="20"/>
              </w:rPr>
              <w:t>河北省任丘市麻家坞镇刘家泊村村西</w:t>
            </w:r>
          </w:p>
        </w:tc>
        <w:tc>
          <w:tcPr>
            <w:tcW w:w="1559" w:type="dxa"/>
          </w:tcPr>
          <w:p>
            <w:pPr>
              <w:rPr>
                <w:lang w:val="de-DE" w:eastAsia="ja-JP"/>
              </w:rPr>
            </w:pPr>
            <w:r>
              <w:rPr>
                <w:rFonts w:asciiTheme="minorEastAsia" w:hAnsiTheme="minorEastAsia" w:eastAsiaTheme="minorEastAsia"/>
                <w:sz w:val="20"/>
              </w:rPr>
              <w:t>河北省任丘市麻家坞镇刘家泊村村西</w:t>
            </w:r>
          </w:p>
        </w:tc>
        <w:tc>
          <w:tcPr>
            <w:tcW w:w="790" w:type="dxa"/>
            <w:vAlign w:val="center"/>
          </w:tcPr>
          <w:p>
            <w:pPr>
              <w:rPr>
                <w:rFonts w:hint="default" w:eastAsia="宋体"/>
                <w:lang w:val="en-US" w:eastAsia="zh-CN"/>
              </w:rPr>
            </w:pPr>
            <w:r>
              <w:rPr>
                <w:rFonts w:hint="eastAsia"/>
                <w:lang w:val="en-US" w:eastAsia="zh-CN"/>
              </w:rPr>
              <w:t>15</w:t>
            </w:r>
          </w:p>
        </w:tc>
        <w:tc>
          <w:tcPr>
            <w:tcW w:w="2310" w:type="dxa"/>
            <w:vAlign w:val="center"/>
          </w:tcPr>
          <w:p>
            <w:pPr>
              <w:rPr>
                <w:rFonts w:ascii="Times New Roman" w:hAnsi="Times New Roman" w:eastAsia="宋体" w:cs="Times New Roman"/>
                <w:kern w:val="2"/>
                <w:sz w:val="20"/>
                <w:szCs w:val="24"/>
                <w:lang w:val="en-US" w:eastAsia="ja-JP" w:bidi="ar-SA"/>
              </w:rPr>
            </w:pPr>
            <w:r>
              <w:rPr>
                <w:sz w:val="20"/>
              </w:rPr>
              <w:t>铁构件（横担、抱箍、拉线棒）、复合绝缘子、隔离开关、高压熔断器、氧化锌避雷器、金属制品（井盖）、电线电缆的销售及其所涉及场所的相关环境管理活动</w:t>
            </w:r>
          </w:p>
        </w:tc>
        <w:tc>
          <w:tcPr>
            <w:tcW w:w="1651" w:type="dxa"/>
            <w:vAlign w:val="center"/>
          </w:tcPr>
          <w:p>
            <w:pPr>
              <w:rPr>
                <w:lang w:eastAsia="ja-JP"/>
              </w:rPr>
            </w:pPr>
            <w:r>
              <w:rPr>
                <w:rFonts w:hint="eastAsia"/>
                <w:lang w:eastAsia="ja-JP"/>
              </w:rPr>
              <w:t>GB/T24001-2016 idt ISO 14001:2015标准</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559" w:type="dxa"/>
            <w:vAlign w:val="center"/>
          </w:tcPr>
          <w:p>
            <w:pPr>
              <w:rPr>
                <w:lang w:eastAsia="ja-JP"/>
              </w:rPr>
            </w:pPr>
          </w:p>
        </w:tc>
        <w:tc>
          <w:tcPr>
            <w:tcW w:w="790" w:type="dxa"/>
            <w:vAlign w:val="center"/>
          </w:tcPr>
          <w:p>
            <w:pPr>
              <w:rPr>
                <w:lang w:eastAsia="ja-JP"/>
              </w:rPr>
            </w:pPr>
          </w:p>
        </w:tc>
        <w:tc>
          <w:tcPr>
            <w:tcW w:w="2310" w:type="dxa"/>
            <w:vAlign w:val="center"/>
          </w:tcPr>
          <w:p>
            <w:pPr>
              <w:rPr>
                <w:lang w:eastAsia="ja-JP"/>
              </w:rPr>
            </w:pPr>
          </w:p>
        </w:tc>
        <w:tc>
          <w:tcPr>
            <w:tcW w:w="16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559" w:type="dxa"/>
            <w:vAlign w:val="center"/>
          </w:tcPr>
          <w:p>
            <w:pPr>
              <w:rPr>
                <w:lang w:eastAsia="ja-JP"/>
              </w:rPr>
            </w:pPr>
          </w:p>
        </w:tc>
        <w:tc>
          <w:tcPr>
            <w:tcW w:w="790" w:type="dxa"/>
            <w:vAlign w:val="center"/>
          </w:tcPr>
          <w:p>
            <w:pPr>
              <w:rPr>
                <w:lang w:eastAsia="ja-JP"/>
              </w:rPr>
            </w:pPr>
          </w:p>
        </w:tc>
        <w:tc>
          <w:tcPr>
            <w:tcW w:w="2310" w:type="dxa"/>
            <w:vAlign w:val="center"/>
          </w:tcPr>
          <w:p>
            <w:pPr>
              <w:rPr>
                <w:lang w:eastAsia="ja-JP"/>
              </w:rPr>
            </w:pPr>
          </w:p>
        </w:tc>
        <w:tc>
          <w:tcPr>
            <w:tcW w:w="16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59" w:type="dxa"/>
            <w:vAlign w:val="center"/>
          </w:tcPr>
          <w:p>
            <w:pPr>
              <w:rPr>
                <w:lang w:eastAsia="ja-JP"/>
              </w:rPr>
            </w:pPr>
          </w:p>
        </w:tc>
        <w:tc>
          <w:tcPr>
            <w:tcW w:w="790" w:type="dxa"/>
            <w:vAlign w:val="center"/>
          </w:tcPr>
          <w:p>
            <w:pPr>
              <w:rPr>
                <w:lang w:eastAsia="ja-JP"/>
              </w:rPr>
            </w:pPr>
          </w:p>
        </w:tc>
        <w:tc>
          <w:tcPr>
            <w:tcW w:w="2310" w:type="dxa"/>
            <w:vAlign w:val="center"/>
          </w:tcPr>
          <w:p>
            <w:pPr>
              <w:rPr>
                <w:lang w:eastAsia="ja-JP"/>
              </w:rPr>
            </w:pPr>
          </w:p>
        </w:tc>
        <w:tc>
          <w:tcPr>
            <w:tcW w:w="16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559" w:type="dxa"/>
            <w:vAlign w:val="center"/>
          </w:tcPr>
          <w:p>
            <w:pPr>
              <w:rPr>
                <w:lang w:eastAsia="ja-JP"/>
              </w:rPr>
            </w:pPr>
          </w:p>
        </w:tc>
        <w:tc>
          <w:tcPr>
            <w:tcW w:w="790" w:type="dxa"/>
            <w:vAlign w:val="center"/>
          </w:tcPr>
          <w:p>
            <w:pPr>
              <w:rPr>
                <w:lang w:eastAsia="ja-JP"/>
              </w:rPr>
            </w:pPr>
          </w:p>
        </w:tc>
        <w:tc>
          <w:tcPr>
            <w:tcW w:w="2310" w:type="dxa"/>
            <w:vAlign w:val="center"/>
          </w:tcPr>
          <w:p>
            <w:pPr>
              <w:rPr>
                <w:lang w:eastAsia="ja-JP"/>
              </w:rPr>
            </w:pPr>
          </w:p>
        </w:tc>
        <w:tc>
          <w:tcPr>
            <w:tcW w:w="165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2020-N1EMS-1263722</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A3"/>
            </w:r>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983615" cy="207010"/>
                  <wp:effectExtent l="0" t="0" r="6985" b="8890"/>
                  <wp:docPr id="1" name="图片 1"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星"/>
                          <pic:cNvPicPr>
                            <a:picLocks noChangeAspect="1"/>
                          </pic:cNvPicPr>
                        </pic:nvPicPr>
                        <pic:blipFill>
                          <a:blip r:embed="rId6"/>
                          <a:stretch>
                            <a:fillRect/>
                          </a:stretch>
                        </pic:blipFill>
                        <pic:spPr>
                          <a:xfrm>
                            <a:off x="0" y="0"/>
                            <a:ext cx="983615" cy="20701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 xml:space="preserve"> 2022.10.28</w:t>
            </w:r>
          </w:p>
        </w:tc>
      </w:tr>
    </w:tbl>
    <w:p/>
    <w:p/>
    <w:p>
      <w:pPr>
        <w:pStyle w:val="2"/>
      </w:pPr>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r>
        <w:t>附件 ISO 14001:2015 (若不是ISO 14001:2015审核请删除)</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审核周期</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w:t>
            </w:r>
            <w:r>
              <w:rPr>
                <w:rFonts w:hint="eastAsia"/>
              </w:rPr>
              <w:sym w:font="Wingdings 2" w:char="0052"/>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体系要素</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组织环境</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firstLine="1260" w:firstLineChars="600"/>
                    <w:rPr>
                      <w:rFonts w:hint="default"/>
                    </w:rPr>
                  </w:pPr>
                </w:p>
              </w:tc>
              <w:tc>
                <w:tcPr>
                  <w:tcW w:w="7375" w:type="dxa"/>
                </w:tcPr>
                <w:p>
                  <w:pPr>
                    <w:keepNext w:val="0"/>
                    <w:keepLines w:val="0"/>
                    <w:suppressLineNumbers w:val="0"/>
                    <w:shd w:val="clear" w:color="auto" w:fill="EBF1DE" w:themeFill="accent3" w:themeFillTint="32"/>
                    <w:spacing w:before="0" w:beforeAutospacing="0" w:after="0" w:afterAutospacing="0"/>
                    <w:ind w:left="0" w:right="0" w:firstLine="420" w:firstLineChars="200"/>
                    <w:rPr>
                      <w:rFonts w:hint="default"/>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外部环境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□社会 </w:t>
                  </w:r>
                  <w:r>
                    <w:rPr>
                      <w:rFonts w:hint="eastAsia"/>
                    </w:rPr>
                    <w:sym w:font="Wingdings 2" w:char="0052"/>
                  </w:r>
                  <w:r>
                    <w:rPr>
                      <w:rFonts w:hint="eastAsia"/>
                    </w:rPr>
                    <w:t xml:space="preserve">经济环境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政治 □监管  □财务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内部环境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□绩效 </w:t>
                  </w:r>
                  <w:r>
                    <w:rPr>
                      <w:rFonts w:hint="eastAsia"/>
                    </w:rPr>
                    <w:sym w:font="Wingdings 2" w:char="00A3"/>
                  </w:r>
                  <w:r>
                    <w:rPr>
                      <w:rFonts w:hint="eastAsia"/>
                    </w:rPr>
                    <w:t xml:space="preserve">工艺 □设备 </w:t>
                  </w:r>
                  <w:r>
                    <w:rPr>
                      <w:rFonts w:hint="eastAsia"/>
                    </w:rPr>
                    <w:sym w:font="Wingdings 2" w:char="0052"/>
                  </w:r>
                  <w:r>
                    <w:rPr>
                      <w:rFonts w:hint="eastAsia"/>
                    </w:rPr>
                    <w:t xml:space="preserve">人员能力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default"/>
                    </w:rPr>
                    <w:t>活动、产品和服务</w:t>
                  </w:r>
                  <w:r>
                    <w:rPr>
                      <w:rFonts w:hint="eastAsia"/>
                    </w:rPr>
                    <w:t xml:space="preserve"> </w:t>
                  </w:r>
                  <w:r>
                    <w:rPr>
                      <w:rFonts w:hint="eastAsia"/>
                    </w:rPr>
                    <w:sym w:font="Wingdings 2" w:char="0052"/>
                  </w:r>
                  <w:r>
                    <w:rPr>
                      <w:rFonts w:hint="default"/>
                    </w:rPr>
                    <w:t>战略方向</w:t>
                  </w:r>
                  <w:r>
                    <w:rPr>
                      <w:rFonts w:hint="eastAsia"/>
                    </w:rPr>
                    <w:t xml:space="preserve"> □其他</w:t>
                  </w: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重要的相关方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主管部门</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供方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顾客</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社区</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员工</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□投资方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□其他</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组织运用生命周期观点明确相关环境管理体系的范围；（详见第一条款审核范围）</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已将环境管理体系要求融入到其各项业务过程中，包括：</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A3"/>
            </w:r>
            <w:r>
              <w:rPr>
                <w:rFonts w:hint="eastAsia"/>
              </w:rPr>
              <w:t xml:space="preserve">生产 </w:t>
            </w:r>
            <w:r>
              <w:rPr>
                <w:rFonts w:hint="eastAsia"/>
              </w:rPr>
              <w:sym w:font="Wingdings 2" w:char="00A3"/>
            </w:r>
            <w:r>
              <w:rPr>
                <w:rFonts w:hint="eastAsia"/>
              </w:rPr>
              <w:t xml:space="preserve">检验 □仓库管理 </w:t>
            </w:r>
          </w:p>
          <w:p>
            <w:pPr>
              <w:keepNext w:val="0"/>
              <w:keepLines w:val="0"/>
              <w:suppressLineNumbers w:val="0"/>
              <w:shd w:val="clear" w:color="auto" w:fill="EBF1DE" w:themeFill="accent3" w:themeFillTint="32"/>
              <w:spacing w:before="40" w:beforeAutospacing="0" w:after="40" w:afterAutospacing="0"/>
              <w:ind w:left="0" w:right="0"/>
              <w:rPr>
                <w:rFonts w:hint="default"/>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A3"/>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sym w:font="Wingdings 2" w:char="00A3"/>
            </w:r>
            <w:r>
              <w:rPr>
                <w:rFonts w:hint="eastAsia"/>
              </w:rPr>
              <w:t>环评三同时 □其他</w:t>
            </w:r>
          </w:p>
          <w:p>
            <w:pPr>
              <w:keepNext w:val="0"/>
              <w:keepLines w:val="0"/>
              <w:suppressLineNumbers w:val="0"/>
              <w:shd w:val="clear" w:color="auto" w:fill="EBF1DE" w:themeFill="accent3" w:themeFillTint="32"/>
              <w:spacing w:before="40" w:beforeAutospacing="0" w:after="40" w:afterAutospacing="0"/>
              <w:ind w:left="0" w:right="0"/>
              <w:rPr>
                <w:rFonts w:hint="default"/>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□危险废物处置 □消防检测 □生产/服务过程 □环保监测 </w:t>
            </w:r>
            <w:r>
              <w:rPr>
                <w:rFonts w:hint="eastAsia"/>
              </w:rPr>
              <w:sym w:font="Wingdings 2" w:char="0052"/>
            </w:r>
            <w:r>
              <w:rPr>
                <w:rFonts w:hint="eastAsia"/>
              </w:rPr>
              <w:t>产品运输 □设备维修</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□人员培训 □其他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领导作用</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科学管理，遵守法规，预防污染，持续改进。</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最高管理者确定了组织架构及相关岗位的职责、权限，并进行了全员的沟通和理解；</w:t>
            </w:r>
          </w:p>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rPr>
              <w:t>EMS的主管部门是——</w:t>
            </w:r>
            <w:r>
              <w:rPr>
                <w:rFonts w:hint="eastAsia"/>
                <w:lang w:val="en-US" w:eastAsia="zh-CN"/>
              </w:rPr>
              <w:t>办公室</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策划</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color w:val="FF0000"/>
                    </w:rPr>
                  </w:pPr>
                  <w:r>
                    <w:rPr>
                      <w:rFonts w:hint="eastAsia" w:ascii="Times New Roman" w:hAnsi="Times New Roman" w:eastAsia="宋体" w:cs="Times New Roman"/>
                    </w:rPr>
                    <w:t>主要的风险或机遇描述</w:t>
                  </w: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color w:val="FF0000"/>
                    </w:rPr>
                  </w:pPr>
                  <w:r>
                    <w:rPr>
                      <w:rFonts w:hint="eastAsia" w:ascii="Times New Roman" w:hAnsi="Times New Roman" w:eastAsia="宋体" w:cs="Times New Roman"/>
                    </w:rPr>
                    <w:t>应对措施</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0"/>
                      <w:szCs w:val="20"/>
                      <w:u w:val="none"/>
                      <w:lang w:val="en-US" w:eastAsia="zh-CN" w:bidi="ar"/>
                    </w:rPr>
                    <w:t>人员素质参差不齐，环保意识不强，对岗位环境因素认识不足，控制方法不明确；</w:t>
                  </w:r>
                </w:p>
              </w:tc>
              <w:tc>
                <w:tcPr>
                  <w:tcW w:w="3965" w:type="dxa"/>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制定相应管理文件，组织员工参与岗位环境因素的识别，岗位重要因素的培训</w:t>
                  </w:r>
                </w:p>
              </w:tc>
              <w:tc>
                <w:tcPr>
                  <w:tcW w:w="1717" w:type="dxa"/>
                  <w:vAlign w:val="top"/>
                </w:tcPr>
                <w:p>
                  <w:pPr>
                    <w:keepNext w:val="0"/>
                    <w:keepLines w:val="0"/>
                    <w:suppressLineNumbers w:val="0"/>
                    <w:shd w:val="clear" w:color="auto" w:fill="EBF1DE" w:themeFill="accent3" w:themeFillTint="32"/>
                    <w:spacing w:before="0" w:beforeAutospacing="0" w:after="0" w:afterAutospacing="0"/>
                    <w:ind w:left="0" w:right="0"/>
                    <w:rPr>
                      <w:rFonts w:hint="default"/>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rPr>
                    <w:t>适用环境法律法规的识别、收集及宣传不够，相对应公司内部活动及环境因素不够明确，部分员工守法意识淡薄</w:t>
                  </w:r>
                </w:p>
              </w:tc>
              <w:tc>
                <w:tcPr>
                  <w:tcW w:w="396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rPr>
                    <w:t>加强识别、收集，定期更新，重要条款予以培训或纳入制度中。</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、异常状况和可合理预见的紧急情况。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制订了文件化的评价重要环境因素的准则，重要环境因素已识别，且对它们的重要性和对环境的影响被定期评审和更新。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重</w:t>
            </w:r>
            <w:r>
              <w:rPr>
                <w:rFonts w:hint="eastAsia" w:ascii="Times New Roman" w:hAnsi="Times New Roman" w:eastAsia="宋体" w:cs="Times New Roman"/>
              </w:rPr>
              <w:t>要环境因素包括</w:t>
            </w:r>
            <w:r>
              <w:rPr>
                <w:rFonts w:hint="eastAsia"/>
              </w:rPr>
              <w:t>(必要时，按每个场所来描述):（不必全选）</w:t>
            </w:r>
          </w:p>
          <w:p>
            <w:pPr>
              <w:keepNext w:val="0"/>
              <w:keepLines w:val="0"/>
              <w:suppressLineNumbers w:val="0"/>
              <w:shd w:val="clear" w:color="auto" w:fill="EBF1DE" w:themeFill="accent3" w:themeFillTint="32"/>
              <w:spacing w:before="40" w:beforeAutospacing="0" w:after="40" w:afterAutospacing="0"/>
              <w:ind w:left="0" w:right="0"/>
              <w:rPr>
                <w:rFonts w:hint="default"/>
                <w:highlight w:val="cyan"/>
              </w:rPr>
            </w:pPr>
            <w:r>
              <w:rPr>
                <w:rFonts w:hint="eastAsia"/>
              </w:rPr>
              <w:sym w:font="Wingdings 2" w:char="00A3"/>
            </w:r>
            <w:r>
              <w:rPr>
                <w:rFonts w:hint="eastAsia"/>
              </w:rPr>
              <w:t xml:space="preserve">能源消耗  </w:t>
            </w:r>
            <w:r>
              <w:rPr>
                <w:rFonts w:hint="eastAsia"/>
              </w:rPr>
              <w:sym w:font="Wingdings 2" w:char="00A3"/>
            </w:r>
            <w:r>
              <w:rPr>
                <w:rFonts w:hint="eastAsia"/>
              </w:rPr>
              <w:t xml:space="preserve">资源消耗 </w:t>
            </w:r>
            <w:r>
              <w:rPr>
                <w:rFonts w:hint="eastAsia"/>
              </w:rPr>
              <w:sym w:font="Wingdings 2" w:char="00A3"/>
            </w:r>
            <w:r>
              <w:rPr>
                <w:rFonts w:hint="eastAsia"/>
              </w:rPr>
              <w:t xml:space="preserve">废水排放  </w:t>
            </w:r>
            <w:r>
              <w:rPr>
                <w:rFonts w:hint="eastAsia"/>
              </w:rPr>
              <w:sym w:font="Wingdings 2" w:char="00A3"/>
            </w:r>
            <w:r>
              <w:rPr>
                <w:rFonts w:hint="eastAsia"/>
              </w:rPr>
              <w:t xml:space="preserve">废气排放 </w:t>
            </w:r>
            <w:r>
              <w:rPr>
                <w:rFonts w:hint="eastAsia"/>
              </w:rPr>
              <w:sym w:font="Wingdings 2" w:char="00A3"/>
            </w:r>
            <w:r>
              <w:rPr>
                <w:rFonts w:hint="eastAsia"/>
              </w:rPr>
              <w:t xml:space="preserve">粉尘排放  </w:t>
            </w:r>
            <w:r>
              <w:rPr>
                <w:rFonts w:hint="eastAsia"/>
              </w:rPr>
              <w:sym w:font="Wingdings 2" w:char="0052"/>
            </w:r>
            <w:r>
              <w:rPr>
                <w:rFonts w:hint="eastAsia"/>
                <w:lang w:val="en-US" w:eastAsia="zh-CN"/>
              </w:rPr>
              <w:t>固体废弃物</w:t>
            </w:r>
            <w:r>
              <w:rPr>
                <w:rFonts w:hint="eastAsia"/>
              </w:rPr>
              <w:t xml:space="preserve">排放 </w:t>
            </w:r>
            <w:r>
              <w:rPr>
                <w:rFonts w:hint="eastAsia"/>
              </w:rPr>
              <w:sym w:font="Wingdings 2" w:char="00A3"/>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组织定期确定并获取</w:t>
            </w:r>
            <w:r>
              <w:rPr>
                <w:rFonts w:hint="eastAsia"/>
              </w:rPr>
              <w:t>了</w:t>
            </w:r>
            <w:r>
              <w:rPr>
                <w:rFonts w:hint="default"/>
              </w:rPr>
              <w:t>与其环境因素有关的</w:t>
            </w:r>
            <w:r>
              <w:rPr>
                <w:rFonts w:hint="eastAsia"/>
              </w:rPr>
              <w:t>文件化的</w:t>
            </w:r>
            <w:r>
              <w:rPr>
                <w:rFonts w:hint="default"/>
              </w:rPr>
              <w:t>合规义务； 将这些合规义务应用于组织； 在建立、实施、保持和持续改进其环境管理体系时必须考虑这些合规义务。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w:t>
            </w:r>
            <w:r>
              <w:rPr>
                <w:rFonts w:hint="eastAsia"/>
              </w:rPr>
              <w:t>提供了</w:t>
            </w:r>
            <w:r>
              <w:rPr>
                <w:rFonts w:hint="default"/>
              </w:rPr>
              <w:t>下列许可和授权(必要时，按每个场所来描述):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□安全生产许可证编号：</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 xml:space="preserve">排污许可证编号：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□环境影响登记表日期：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环境影响报告表日期：</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环境</w:t>
            </w:r>
            <w:r>
              <w:rPr>
                <w:rFonts w:hint="eastAsia"/>
                <w:lang w:val="en-US" w:eastAsia="zh-CN"/>
              </w:rPr>
              <w:t>保护验收报告</w:t>
            </w:r>
            <w:r>
              <w:rPr>
                <w:rFonts w:hint="eastAsia"/>
              </w:rPr>
              <w:t>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□消防验收/备案证明日期：</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组织策划并采取措施管理其重要环境因素、合规义务和识别的风险和机遇；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 xml:space="preserve">污水处理  </w:t>
            </w:r>
            <w:r>
              <w:rPr>
                <w:rFonts w:hint="eastAsia"/>
              </w:rPr>
              <w:sym w:font="Wingdings 2" w:char="00A3"/>
            </w:r>
            <w:r>
              <w:rPr>
                <w:rFonts w:hint="eastAsia"/>
              </w:rPr>
              <w:t xml:space="preserve">除尘设备 </w:t>
            </w:r>
            <w:r>
              <w:rPr>
                <w:rFonts w:hint="eastAsia"/>
              </w:rPr>
              <w:sym w:font="Wingdings 2" w:char="00A3"/>
            </w:r>
            <w:r>
              <w:rPr>
                <w:rFonts w:hint="eastAsia"/>
              </w:rPr>
              <w:t xml:space="preserve">设备降噪  </w:t>
            </w:r>
            <w:r>
              <w:rPr>
                <w:rFonts w:hint="eastAsia"/>
              </w:rPr>
              <w:sym w:font="Wingdings 2" w:char="00A3"/>
            </w:r>
            <w:r>
              <w:rPr>
                <w:rFonts w:hint="eastAsia"/>
              </w:rPr>
              <w:t xml:space="preserve">危废合法处置 </w:t>
            </w:r>
            <w:r>
              <w:rPr>
                <w:rFonts w:hint="eastAsia"/>
              </w:rPr>
              <w:sym w:font="Wingdings 2" w:char="00A3"/>
            </w:r>
            <w:r>
              <w:rPr>
                <w:rFonts w:hint="eastAsia"/>
              </w:rPr>
              <w:t xml:space="preserve">使用节能设备  </w:t>
            </w:r>
            <w:r>
              <w:rPr>
                <w:rFonts w:hint="eastAsia"/>
              </w:rPr>
              <w:sym w:font="Wingdings 2" w:char="00A3"/>
            </w:r>
            <w:r>
              <w:rPr>
                <w:rFonts w:hint="eastAsia"/>
              </w:rPr>
              <w:t xml:space="preserve">危化品控制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sym w:font="Wingdings 2" w:char="00A3"/>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环境目标</w:t>
                  </w:r>
                </w:p>
              </w:tc>
              <w:tc>
                <w:tcPr>
                  <w:tcW w:w="3136"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控制措施</w:t>
                  </w:r>
                </w:p>
              </w:tc>
              <w:tc>
                <w:tcPr>
                  <w:tcW w:w="1350"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责任部门</w:t>
                  </w:r>
                </w:p>
              </w:tc>
              <w:tc>
                <w:tcPr>
                  <w:tcW w:w="1774"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0"/>
                      <w:szCs w:val="20"/>
                      <w:u w:val="none"/>
                      <w:lang w:val="en-US" w:eastAsia="zh-CN" w:bidi="ar"/>
                    </w:rPr>
                    <w:t>固体废弃物100％收集处置</w:t>
                  </w:r>
                </w:p>
              </w:tc>
              <w:tc>
                <w:tcPr>
                  <w:tcW w:w="3136" w:type="dxa"/>
                  <w:shd w:val="clear" w:color="auto" w:fill="auto"/>
                  <w:vAlign w:val="center"/>
                </w:tcPr>
                <w:p>
                  <w:pPr>
                    <w:keepNext w:val="0"/>
                    <w:keepLines w:val="0"/>
                    <w:widowControl/>
                    <w:suppressLineNumbers w:val="0"/>
                    <w:jc w:val="left"/>
                    <w:textAlignment w:val="center"/>
                    <w:rPr>
                      <w:rFonts w:hint="default"/>
                      <w:lang w:val="en-GB"/>
                    </w:rPr>
                  </w:pPr>
                  <w:r>
                    <w:rPr>
                      <w:rFonts w:hint="eastAsia" w:ascii="宋体" w:hAnsi="宋体" w:eastAsia="宋体" w:cs="宋体"/>
                      <w:i w:val="0"/>
                      <w:iCs w:val="0"/>
                      <w:color w:val="000000"/>
                      <w:kern w:val="0"/>
                      <w:sz w:val="20"/>
                      <w:szCs w:val="20"/>
                      <w:u w:val="none"/>
                      <w:lang w:val="en-US" w:eastAsia="zh-CN" w:bidi="ar"/>
                    </w:rPr>
                    <w:t>实际处理的次数/规定需处理的次数*100%</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各部门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火灾事故为0</w:t>
                  </w:r>
                </w:p>
              </w:tc>
              <w:tc>
                <w:tcPr>
                  <w:tcW w:w="3136" w:type="dxa"/>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各部门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rPr>
                  </w:pPr>
                </w:p>
              </w:tc>
              <w:tc>
                <w:tcPr>
                  <w:tcW w:w="3136" w:type="dxa"/>
                  <w:shd w:val="clear" w:color="auto" w:fill="auto"/>
                  <w:vAlign w:val="center"/>
                </w:tcPr>
                <w:p>
                  <w:pPr>
                    <w:keepNext w:val="0"/>
                    <w:keepLines w:val="0"/>
                    <w:suppressLineNumbers w:val="0"/>
                    <w:spacing w:before="0" w:beforeAutospacing="0" w:after="0" w:afterAutospacing="0" w:line="400" w:lineRule="exact"/>
                    <w:ind w:left="0" w:right="0"/>
                    <w:rPr>
                      <w:rFonts w:hint="default" w:ascii="宋体" w:hAnsi="宋体" w:eastAsia="宋体"/>
                      <w:szCs w:val="21"/>
                      <w:lang w:val="en-US" w:eastAsia="zh-CN"/>
                    </w:rPr>
                  </w:pP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eastAsia="宋体"/>
                      <w:szCs w:val="21"/>
                      <w:lang w:val="en-US" w:eastAsia="zh-CN"/>
                    </w:rPr>
                  </w:pP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rPr>
                  </w:pPr>
                </w:p>
              </w:tc>
              <w:tc>
                <w:tcPr>
                  <w:tcW w:w="3136" w:type="dxa"/>
                  <w:shd w:val="clear" w:color="auto" w:fill="auto"/>
                  <w:vAlign w:val="center"/>
                </w:tcPr>
                <w:p>
                  <w:pPr>
                    <w:keepNext w:val="0"/>
                    <w:keepLines w:val="0"/>
                    <w:suppressLineNumbers w:val="0"/>
                    <w:spacing w:before="0" w:beforeAutospacing="0" w:after="0" w:afterAutospacing="0" w:line="400" w:lineRule="exact"/>
                    <w:ind w:left="0" w:right="0"/>
                    <w:rPr>
                      <w:rFonts w:hint="default" w:ascii="宋体" w:hAnsi="宋体" w:eastAsia="宋体"/>
                      <w:szCs w:val="21"/>
                      <w:lang w:val="en-US" w:eastAsia="zh-CN"/>
                    </w:rPr>
                  </w:pP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eastAsia="宋体"/>
                      <w:szCs w:val="21"/>
                      <w:lang w:val="en-US" w:eastAsia="zh-CN"/>
                    </w:rPr>
                  </w:pP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lang w:val="en-US" w:eastAsia="zh-CN"/>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目标已实现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支持</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组织的资源状况：</w:t>
            </w:r>
            <w:r>
              <w:rPr>
                <w:rFonts w:hint="eastAsia"/>
              </w:rPr>
              <w:sym w:font="Wingdings 2" w:char="0052"/>
            </w:r>
            <w:r>
              <w:rPr>
                <w:rFonts w:hint="eastAsia"/>
              </w:rPr>
              <w:t xml:space="preserve">人力资源 </w:t>
            </w:r>
            <w:r>
              <w:rPr>
                <w:rFonts w:hint="eastAsia" w:ascii="Wingdings" w:hAnsi="Wingdings"/>
              </w:rPr>
              <w:t>¨</w:t>
            </w:r>
            <w:r>
              <w:rPr>
                <w:rFonts w:hint="eastAsia"/>
              </w:rPr>
              <w:t xml:space="preserve">自然资源 </w:t>
            </w:r>
            <w:r>
              <w:rPr>
                <w:rFonts w:hint="eastAsia"/>
              </w:rPr>
              <w:sym w:font="Wingdings 2" w:char="0052"/>
            </w:r>
            <w:r>
              <w:rPr>
                <w:rFonts w:hint="eastAsia"/>
              </w:rPr>
              <w:t xml:space="preserve">基础设施  </w:t>
            </w:r>
            <w:r>
              <w:rPr>
                <w:rFonts w:hint="eastAsia" w:ascii="Wingdings" w:hAnsi="Wingdings"/>
              </w:rPr>
              <w:t>¨</w:t>
            </w:r>
            <w:r>
              <w:rPr>
                <w:rFonts w:hint="eastAsia"/>
              </w:rPr>
              <w:t xml:space="preserve">技术  </w:t>
            </w:r>
            <w:r>
              <w:rPr>
                <w:rFonts w:hint="eastAsia"/>
              </w:rPr>
              <w:sym w:font="Wingdings 2" w:char="0052"/>
            </w:r>
            <w:r>
              <w:rPr>
                <w:rFonts w:hint="eastAsia"/>
              </w:rPr>
              <w:t>财务资源。</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组织</w:t>
            </w:r>
            <w:r>
              <w:rPr>
                <w:rFonts w:hint="default"/>
              </w:rPr>
              <w:t>现有内部资源的能力</w:t>
            </w:r>
            <w:r>
              <w:rPr>
                <w:rFonts w:hint="eastAsia"/>
              </w:rPr>
              <w:t>可满足环境管理体系运行；</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可基本满足环境管理体系运行，但是还有不足需要补充：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完全不能满足环境管理体系运行，</w:t>
            </w:r>
            <w:r>
              <w:rPr>
                <w:rFonts w:hint="default"/>
              </w:rP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vAlign w:val="top"/>
          </w:tcPr>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ascii="Times New Roman" w:hAnsi="Times New Roman" w:eastAsia="宋体" w:cs="Times New Roman"/>
              </w:rPr>
            </w:pPr>
            <w:r>
              <w:rPr>
                <w:rFonts w:hint="eastAsia" w:cs="Times New Roman"/>
                <w:lang w:val="en-US" w:eastAsia="zh-CN"/>
              </w:rPr>
              <w:t>办公室面积</w:t>
            </w:r>
            <w:r>
              <w:rPr>
                <w:rFonts w:hint="eastAsia" w:ascii="Times New Roman" w:hAnsi="Times New Roman" w:eastAsia="宋体" w:cs="Times New Roman"/>
                <w:lang w:val="en-US" w:eastAsia="zh-CN"/>
              </w:rPr>
              <w:t>约5</w:t>
            </w:r>
            <w:r>
              <w:rPr>
                <w:rFonts w:hint="eastAsia" w:cs="Times New Roman"/>
                <w:lang w:val="en-US" w:eastAsia="zh-CN"/>
              </w:rPr>
              <w:t>00</w:t>
            </w:r>
            <w:r>
              <w:rPr>
                <w:rFonts w:hint="eastAsia" w:ascii="Times New Roman" w:hAnsi="Times New Roman" w:eastAsia="宋体" w:cs="Times New Roman"/>
              </w:rPr>
              <w:t>平方米；</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主要</w:t>
            </w:r>
            <w:r>
              <w:rPr>
                <w:rFonts w:hint="eastAsia" w:cs="Times New Roman"/>
                <w:lang w:val="en-US" w:eastAsia="zh-CN"/>
              </w:rPr>
              <w:t>办公</w:t>
            </w:r>
            <w:r>
              <w:rPr>
                <w:rFonts w:hint="eastAsia" w:ascii="Times New Roman" w:hAnsi="Times New Roman" w:eastAsia="宋体" w:cs="Times New Roman"/>
              </w:rPr>
              <w:t xml:space="preserve">设备有： </w:t>
            </w:r>
            <w:r>
              <w:rPr>
                <w:rFonts w:hint="eastAsia" w:cs="Times New Roman"/>
                <w:lang w:val="en-US" w:eastAsia="zh-CN"/>
              </w:rPr>
              <w:t>电脑、工作桌</w:t>
            </w:r>
            <w:r>
              <w:rPr>
                <w:rFonts w:hint="eastAsia" w:ascii="Times New Roman" w:hAnsi="Times New Roman" w:eastAsia="宋体" w:cs="Times New Roman"/>
              </w:rPr>
              <w:t xml:space="preserve"> </w:t>
            </w:r>
            <w:r>
              <w:rPr>
                <w:rFonts w:hint="eastAsia" w:cs="Times New Roman"/>
                <w:lang w:eastAsia="zh-CN"/>
              </w:rPr>
              <w:t>、</w:t>
            </w:r>
            <w:r>
              <w:rPr>
                <w:rFonts w:hint="eastAsia" w:cs="Times New Roman"/>
                <w:lang w:val="en-US" w:eastAsia="zh-CN"/>
              </w:rPr>
              <w:t>打印机等</w:t>
            </w:r>
            <w:r>
              <w:rPr>
                <w:rFonts w:hint="eastAsia" w:ascii="Times New Roman" w:hAnsi="Times New Roman" w:eastAsia="宋体" w:cs="Times New Roman"/>
              </w:rPr>
              <w:t xml:space="preserve"> （列举2~4种）</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 xml:space="preserve">特种设备：叉车 ¨行车 锅炉 电梯  ¨压力容器  ¨压力管道  ¨不适用  </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 xml:space="preserve">特种设备管理：进行了定期检验  ¨未进行定期检验的有：             </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sym w:font="Wingdings 2" w:char="00A3"/>
            </w:r>
            <w:r>
              <w:rPr>
                <w:rFonts w:hint="eastAsia" w:ascii="Times New Roman" w:hAnsi="Times New Roman" w:eastAsia="宋体" w:cs="Times New Roman"/>
              </w:rPr>
              <w:t>组织</w:t>
            </w:r>
            <w:r>
              <w:rPr>
                <w:rFonts w:ascii="Times New Roman" w:hAnsi="Times New Roman" w:eastAsia="宋体" w:cs="Times New Roman"/>
              </w:rPr>
              <w:t>现有</w:t>
            </w:r>
            <w:r>
              <w:rPr>
                <w:rFonts w:hint="eastAsia" w:ascii="Times New Roman" w:hAnsi="Times New Roman" w:eastAsia="宋体" w:cs="Times New Roman"/>
              </w:rPr>
              <w:t>基础设施可满足质量管理体系运行；</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□组织</w:t>
            </w:r>
            <w:r>
              <w:rPr>
                <w:rFonts w:ascii="Times New Roman" w:hAnsi="Times New Roman" w:eastAsia="宋体" w:cs="Times New Roman"/>
              </w:rPr>
              <w:t>现有</w:t>
            </w:r>
            <w:r>
              <w:rPr>
                <w:rFonts w:hint="eastAsia" w:ascii="Times New Roman" w:hAnsi="Times New Roman" w:eastAsia="宋体" w:cs="Times New Roman"/>
              </w:rPr>
              <w:t xml:space="preserve">基础设施可基本满足质量管理体系运行，但是还有不足需要补充：           </w:t>
            </w:r>
          </w:p>
          <w:p>
            <w:pPr>
              <w:shd w:val="clear" w:color="auto" w:fill="EBF1DE" w:themeFill="accent3" w:themeFillTint="32"/>
              <w:rPr>
                <w:rFonts w:hint="default"/>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计量器具的</w:t>
            </w:r>
            <w:r>
              <w:rPr>
                <w:rFonts w:hint="default"/>
              </w:rPr>
              <w:t>测量溯源</w:t>
            </w:r>
            <w:r>
              <w:rPr>
                <w:rFonts w:hint="eastAsia"/>
              </w:rPr>
              <w:t xml:space="preserve">方法：  </w:t>
            </w:r>
            <w:r>
              <w:rPr>
                <w:rFonts w:hint="eastAsia" w:ascii="Wingdings" w:hAnsi="Wingdings"/>
              </w:rPr>
              <w:t>¨</w:t>
            </w:r>
            <w:r>
              <w:rPr>
                <w:rFonts w:hint="eastAsia"/>
              </w:rPr>
              <w:t xml:space="preserve">自校   外校 </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组织已确定在其控制的工作人员所需具备的能力，并采取措施以获得所需的能力，并评价措施的有效性；</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对国家规定持证上岗的人员资质进行了有效的管理。</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特种作业人员：电工 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特种设备作业人员：叉车工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通过</w:t>
            </w:r>
            <w:r>
              <w:rPr>
                <w:rFonts w:hint="eastAsia" w:ascii="Times New Roman" w:hAnsi="Times New Roman" w:eastAsia="宋体" w:cs="Times New Roman"/>
              </w:rPr>
              <w:t>■</w:t>
            </w:r>
            <w:r>
              <w:rPr>
                <w:rFonts w:hint="eastAsia"/>
              </w:rPr>
              <w:t xml:space="preserve">会议传达 标语  </w:t>
            </w:r>
            <w:r>
              <w:rPr>
                <w:rFonts w:hint="eastAsia" w:ascii="Times New Roman" w:hAnsi="Times New Roman" w:eastAsia="宋体" w:cs="Times New Roman"/>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组织已确定与环境管理体系相关的内部和外部沟通。</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内部沟通方式：■文件发放 ■会议  </w:t>
            </w:r>
            <w:r>
              <w:rPr>
                <w:rFonts w:hint="eastAsia" w:ascii="Times New Roman" w:hAnsi="Times New Roman" w:eastAsia="宋体" w:cs="Times New Roman"/>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外部沟通方式：■宣传材料 网站  </w:t>
            </w:r>
            <w:r>
              <w:rPr>
                <w:rFonts w:hint="eastAsia" w:ascii="Times New Roman" w:hAnsi="Times New Roman" w:eastAsia="宋体" w:cs="Times New Roman"/>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组织已建立了文件化的环境管理体系。对自编文件的编制、审批、发放、变更和作废进行了控制。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对环境相关的外来文件（法律法规、产品标准）进行了识别和贯彻。</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运行</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hd w:val="clear" w:color="auto" w:fill="EBF1DE" w:themeFill="accent3" w:themeFillTint="32"/>
              <w:spacing w:before="0" w:beforeAutospacing="0" w:after="0" w:afterAutospacing="0"/>
              <w:ind w:left="0" w:right="0"/>
              <w:rPr>
                <w:rFonts w:hint="default"/>
                <w:highlight w:val="yellow"/>
              </w:rPr>
            </w:pPr>
            <w:r>
              <w:rPr>
                <w:rFonts w:hint="eastAsia"/>
              </w:rPr>
              <w:t xml:space="preserve"> ■</w:t>
            </w:r>
            <w:r>
              <w:rPr>
                <w:rFonts w:hint="eastAsia"/>
                <w:lang w:val="en-US" w:eastAsia="zh-CN"/>
              </w:rPr>
              <w:t>服务</w:t>
            </w:r>
            <w:r>
              <w:rPr>
                <w:rFonts w:hint="eastAsia"/>
              </w:rPr>
              <w:t xml:space="preserve">流程图 ■作业文件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组织建立并实施了与顾客沟通；如产品和服务的环境信息、顾客财产、应急措施等。</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组织对产品和服务的环境要求进行了评审，确保有能力向顾客提供满足要求的产品和服务。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组织建立、实施和保持了适当的设计和开发过程，以确保后续的产品和服务的提供中满足环境相关的法律法规。（适用时）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审核期间内，设计和开发新产品/项目名称：</w:t>
            </w:r>
            <w:r>
              <w:rPr>
                <w:rFonts w:hint="eastAsia"/>
                <w:u w:val="single"/>
              </w:rPr>
              <w:t xml:space="preserve">                           （</w:t>
            </w:r>
            <w:r>
              <w:rPr>
                <w:rFonts w:hint="eastAsia"/>
              </w:rPr>
              <w:t>举1例）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对该设计和开发的项目对环境因素进行了识别和评价，并制订了控制措施。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设计和开发的环境因素控制：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组织对外部提供的过程、产品（危化品）和服务的供方按照对环境因素的影响程度实施控制。</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外部提供包括：原材料采购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设备维保  ■运输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控制方式：■合同约定 </w:t>
            </w:r>
            <w:r>
              <w:rPr>
                <w:rFonts w:hint="eastAsia" w:ascii="Wingdings" w:hAnsi="Wingdings"/>
              </w:rPr>
              <w:t>¨</w:t>
            </w:r>
            <w:r>
              <w:rPr>
                <w:rFonts w:hint="eastAsia"/>
              </w:rPr>
              <w:t xml:space="preserve">危害告知  ■现场检查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对外部供方的控制：■符合要求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重要环境因素</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控制措施</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r>
                    <w:rPr>
                      <w:rFonts w:hint="eastAsia"/>
                    </w:rPr>
                    <w:t>固废排放</w:t>
                  </w: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 xml:space="preserve"> 加强分类管理</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rPr>
                    <w:t>火灾</w:t>
                  </w:r>
                  <w:r>
                    <w:rPr>
                      <w:rFonts w:hint="eastAsia"/>
                      <w:lang w:val="en-US" w:eastAsia="zh-CN"/>
                    </w:rPr>
                    <w:t>的发生</w:t>
                  </w: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运行检查，查出消防隐患及时整改</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对生产和服务提供过程的环境因素控制■符合要求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组织对生产设备、环保设备、特种设备制订了计划进行了定期的检查、保养和维修；运行完好</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特种设备管理：进行了定期检验  </w:t>
            </w:r>
            <w:r>
              <w:rPr>
                <w:rFonts w:hint="eastAsia" w:ascii="Wingdings" w:hAnsi="Wingdings"/>
              </w:rPr>
              <w:t>¨</w:t>
            </w:r>
            <w:r>
              <w:rPr>
                <w:rFonts w:hint="eastAsia"/>
              </w:rPr>
              <w:t xml:space="preserve">未进行定期检验的有：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组织在生产和服务提供的整个过程中对危化品特性的进行了标识。</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采用的标识方式：</w:t>
            </w:r>
            <w:r>
              <w:rPr>
                <w:rFonts w:hint="eastAsia" w:ascii="Wingdings" w:hAnsi="Wingdings"/>
              </w:rPr>
              <w:t>¨</w:t>
            </w:r>
            <w:r>
              <w:rPr>
                <w:rFonts w:hint="eastAsia"/>
              </w:rPr>
              <w:t xml:space="preserve">MSDS 危害告知标牌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组织应在生产和服务提供期间对危化品的采购、运输、使用、储存的环境因素进行控制，以确保符合MSDS和法规要求。 </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危化品：符合要求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组织对产品和服务交付后活动的要求。 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制订的应急预案包括：</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ascii="宋体" w:hAnsi="宋体" w:cs="宋体"/>
                <w:color w:val="000000" w:themeColor="text1"/>
                <w:szCs w:val="21"/>
              </w:rPr>
              <w:t>消防演练</w:t>
            </w:r>
            <w:r>
              <w:rPr>
                <w:rFonts w:hint="eastAsia"/>
              </w:rPr>
              <w:t xml:space="preserve">；并总结了预案的可行性和有效性。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定期评审并修订过程和策划的响应措施，特别是发生紧急情况后或进行试验后；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向环境有关的相关方，包括在组织控制下工作的人员提供应急准备和响应相关的信息和培训。</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绩效评价</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组织已分析和评价通过监视和测量获得的适当的数据和信息。</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组织已建立、实施并保持评价其合规义务履行情况所需的过程。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实施合规性评价的时间：</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组织在适当阶段实施策划的安排，以验证环境法律法规的要求已得到满足。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实施的检测：企业自检 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w:t>
            </w:r>
            <w:r>
              <w:rPr>
                <w:rFonts w:hint="eastAsia"/>
                <w:lang w:val="en-US" w:eastAsia="zh-CN"/>
              </w:rPr>
              <w:t>检测</w:t>
            </w:r>
            <w:r>
              <w:rPr>
                <w:rFonts w:hint="eastAsia"/>
              </w:rPr>
              <w:t>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《建筑消防检测报告》编号：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达标评价：符合要求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27</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改进</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组织已确定和选择改进机会，并采取必要措施改进环境管理体系，实现其环境管理体系的预期结果。</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组织针对环境管理体系运行中的不符合采取了有效纠正和纠正措施。针对下列方面采取了纠正措施：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检测结果不合格 ■自我检查的结果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组织持续改进了环境管理体系的适宜性、充分性与有效性，以提升环境绩效。</w:t>
            </w:r>
          </w:p>
        </w:tc>
      </w:tr>
    </w:tbl>
    <w:tbl>
      <w:tblPr>
        <w:tblStyle w:val="8"/>
        <w:tblpPr w:leftFromText="180" w:rightFromText="180" w:vertAnchor="text" w:horzAnchor="page" w:tblpX="1097" w:tblpY="113"/>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rPr>
          <w:rFonts w:eastAsia="微软雅黑"/>
          <w:sz w:val="20"/>
          <w:szCs w:val="20"/>
        </w:rPr>
      </w:pPr>
      <w:r>
        <w:t xml:space="preserve">*评价: </w:t>
      </w:r>
      <w:r>
        <w:tab/>
      </w:r>
      <w:r>
        <w:t>1 = 符合</w:t>
      </w:r>
      <w:r>
        <w:rPr>
          <w:rFonts w:hint="eastAsia"/>
          <w:lang w:val="en-US" w:eastAsia="zh-CN"/>
        </w:rPr>
        <w:t xml:space="preserve">  </w:t>
      </w:r>
      <w:r>
        <w:t>2 = 这次审核没审</w:t>
      </w:r>
      <w:r>
        <w:rPr>
          <w:rFonts w:hint="eastAsia"/>
          <w:lang w:val="en-US" w:eastAsia="zh-CN"/>
        </w:rPr>
        <w:t xml:space="preserve">  </w:t>
      </w:r>
      <w:r>
        <w:t xml:space="preserve">3 = 失效/不符合(参见不符合报告) </w:t>
      </w:r>
      <w:r>
        <w:rPr>
          <w:rFonts w:hint="eastAsia"/>
          <w:lang w:val="en-US" w:eastAsia="zh-CN"/>
        </w:rPr>
        <w:t xml:space="preserve"> </w:t>
      </w:r>
      <w:r>
        <w:tab/>
      </w:r>
      <w:r>
        <w:t>4 =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4NjI5OTBmMDM1ODFlMDkzNDFlZTFiMWNhZWU5ZTMifQ=="/>
  </w:docVars>
  <w:rsids>
    <w:rsidRoot w:val="00000000"/>
    <w:rsid w:val="0D905D5D"/>
    <w:rsid w:val="1F844D5F"/>
    <w:rsid w:val="324E1910"/>
    <w:rsid w:val="35E041D2"/>
    <w:rsid w:val="4FA13A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2022-10-28T03:14:16Z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