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品质部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叶水平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屠菊蕾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张磊、丁旭卫（提供专业支持）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22.10.30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1、负责产品的检验和不合格输出的控制；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2、负责分析和评价工作等。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          考核结果</w:t>
            </w:r>
          </w:p>
          <w:p>
            <w:pPr>
              <w:pStyle w:val="14"/>
              <w:spacing w:line="360" w:lineRule="auto"/>
              <w:jc w:val="left"/>
              <w:rPr>
                <w:rFonts w:hint="default" w:asci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    100%</w:t>
            </w:r>
          </w:p>
          <w:p>
            <w:pPr>
              <w:pStyle w:val="14"/>
              <w:spacing w:line="360" w:lineRule="auto"/>
              <w:jc w:val="left"/>
              <w:rPr>
                <w:rFonts w:hint="default" w:asci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                           0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22.9.30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本部门应执行的运行控制文件包括：环境运行控制程序，固体废弃物管理规定、对相关方施加影响管理规定、节能降耗管理规定、消防安全管理制度、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安全管理制度、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车辆管理规定、电脑使用管理办法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查运行控制情况：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  <w:t>办公过程注意节约用电，做到人走灯灭，电脑长时间不用时关机，下班前要关闭电源；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  <w:t>相关方施加影响：公司能够控制或能够施加影响的相关方有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与企业合作的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  <w:t>商户、固体废弃物处理等。提供了“致相关方的公开信”，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GB" w:eastAsia="zh-CN"/>
              </w:rPr>
              <w:t>公司办公产生的废硒鼓、废墨盒由供应方公司回收；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■办公区固废；现在分类集中存放，及时处理，防止意外火灾。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■现场查看办公区域配备有符合要求的灭火器等，综合部设备、电器状态良好，无安全隐患。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■消防：消防栓、灭火器（干粉）；定期检查；及时更换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提供《危废处置协议书》，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处置方：湖州威能环境服务有限公司，危废代码/名称：900-041-49/废活性炭、900-252-12/漆渣、264-02-12/水处理污泥、900-249-08/废矿物油与含矿物油的废物，有效期：202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-1-1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-12-31。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提供转移联单，联单编号：PM3304832022000787，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危废名称：漆渣，处置数量：5.665吨，处置单位：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湖州威能环境服务有限公司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，接收时间：2022-8-30，处置单位接收人签字签章明确。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处置方：绍兴鑫杰环保科技有限公司，危废代码/名称：HW49(900-041-49)/废包装桶，有效期：202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-1-1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-12-31。目前尚无处置记录。</w:t>
            </w:r>
          </w:p>
          <w:p>
            <w:pPr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提供灭火器定期检查记录：检查内容有压力、安全插栓等有效性，有检查人签字，检验结果均合格；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1、查策划有《应急准备和响应控制程序》，编制有触电、火灾事故等应急预案。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2、抽火灾应急准备工作开展以下活动：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——建立有应急组织，提供应急组织机构图、消防队人员名单、职责权限规定等。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——配备相应的消防器材。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3、该部门介绍开展了消防器材的使用和人员紧急疏散演练活动：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提供有“消防演习记录”。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——演练时间：2022年3月11日；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——演练组织部门：综合管理部；参加人员：全体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——演练效果评价记录：演练真实地演练有目标、有方向、有惊无险，人员安全救火行动迅速，扑灭及时，位置准确，使用器械符合操作规范，灭火器使用正常，人员配合有序，基本达到演练目的。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2、通过演练进一步学习消防知识，掌握消防器械的正确使用，使人们互帮互学，团结有力，在实践中得到锻炼和成长。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3、全体员工的安全意识，消防知识得到进一步提高。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4、存在问题，逃生时不严肃，吵杂声大，弯腰捂鼻的动作不够规范，不能体现紧张气氛，现场讲解器材操作使用时不能积极参与，大部分员工都很被动。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现场查看，办公区域配置了灭火器，在有效期内。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抽查消防器材管理，提供有：</w:t>
            </w:r>
          </w:p>
          <w:p>
            <w:pPr>
              <w:pStyle w:val="2"/>
              <w:spacing w:line="360" w:lineRule="auto"/>
              <w:ind w:left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过滤式消防自救呼吸器：3C产品认证证书（有效期：2020.7.16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2023-9-19）、检验报告：委托国家消防装备质量监督检验中心型式试验，结论：合格。</w:t>
            </w:r>
          </w:p>
          <w:p>
            <w:pPr>
              <w:pStyle w:val="2"/>
              <w:spacing w:line="360" w:lineRule="auto"/>
              <w:ind w:left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有衬里消防消防水带：3C产品认证证书（有效期：2019.8.2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2024.8.1）、检验报告：委托国家消防装备质量监督检验中心型式试验，结论：合格。</w:t>
            </w:r>
          </w:p>
          <w:p>
            <w:pPr>
              <w:pStyle w:val="2"/>
              <w:spacing w:line="360" w:lineRule="auto"/>
              <w:ind w:left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手提式干粉灭火器：3C产品认证证书（有效期：2020.8.23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2025.8.22）、检验报告：委托国家消防装备质量监督检验中心型式试验，结论：合格。</w:t>
            </w:r>
          </w:p>
          <w:p>
            <w:pPr>
              <w:pStyle w:val="2"/>
              <w:spacing w:line="360" w:lineRule="auto"/>
              <w:ind w:left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过滤式消防自救呼吸器3C产品认证证书（有效期：2020.7.16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2023-9-19）、检验报告：委托国家消防装备质量监督检验中心型式试验，结论：合格。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图片 0" o:spid="_x0000_s4099" o:spt="75" alt="新LOGO.png" type="#_x0000_t75" style="position:absolute;left:0pt;margin-left:-6pt;margin-top:-2.5pt;height:38.25pt;width:38.2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新LOGO.png"/>
          <o:lock v:ext="edit" aspectratio="t"/>
          <w10:wrap type="topAndBottom"/>
        </v:shape>
      </w:pict>
    </w:r>
    <w:r>
      <w:pict>
        <v:shape id="_x0000_s4100" o:spid="_x0000_s4100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43A0727"/>
    <w:rsid w:val="20A56492"/>
    <w:rsid w:val="21495416"/>
    <w:rsid w:val="2E481028"/>
    <w:rsid w:val="30B65ACF"/>
    <w:rsid w:val="39F52ADD"/>
    <w:rsid w:val="43582F9D"/>
    <w:rsid w:val="4C5163BD"/>
    <w:rsid w:val="4EC17F0A"/>
    <w:rsid w:val="50F574B7"/>
    <w:rsid w:val="573033D2"/>
    <w:rsid w:val="5EA12B9A"/>
    <w:rsid w:val="686569EF"/>
    <w:rsid w:val="697402BE"/>
    <w:rsid w:val="6A920F4D"/>
    <w:rsid w:val="75E51A49"/>
    <w:rsid w:val="78051293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1983</Words>
  <Characters>2218</Characters>
  <Lines>25</Lines>
  <Paragraphs>7</Paragraphs>
  <TotalTime>1</TotalTime>
  <ScaleCrop>false</ScaleCrop>
  <LinksUpToDate>false</LinksUpToDate>
  <CharactersWithSpaces>2326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春华秋实</cp:lastModifiedBy>
  <dcterms:modified xsi:type="dcterms:W3CDTF">2022-10-30T02:01:40Z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A157BB8CAB5242F1B5B0FCB953AE38DD</vt:lpwstr>
  </property>
</Properties>
</file>