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黑龙江省荣泽石油设备有限公司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1122-2021-2022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1122-2021-2022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0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330"/>
        <w:gridCol w:w="1725"/>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黑龙江省荣泽石油设备有限公司</w:t>
            </w:r>
            <w:bookmarkEnd w:id="4"/>
          </w:p>
        </w:tc>
        <w:tc>
          <w:tcPr>
            <w:tcW w:w="17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梁丽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ISC-2021-1160</w:t>
            </w:r>
            <w:bookmarkEnd w:id="6"/>
          </w:p>
        </w:tc>
        <w:tc>
          <w:tcPr>
            <w:tcW w:w="17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2026-12-26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30"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第一次</w:t>
            </w:r>
          </w:p>
        </w:tc>
        <w:tc>
          <w:tcPr>
            <w:tcW w:w="17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2022年10月31日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90"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30" w:type="dxa"/>
          </w:tcPr>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姜丽</w:t>
            </w:r>
            <w:r>
              <w:rPr>
                <w:rFonts w:hint="eastAsia" w:ascii="宋体" w:hAnsi="宋体" w:eastAsia="宋体" w:cs="宋体"/>
                <w:sz w:val="21"/>
                <w:szCs w:val="21"/>
              </w:rPr>
              <w:t>2021-M1MMS-2274284</w:t>
            </w:r>
          </w:p>
          <w:p>
            <w:pPr>
              <w:bidi w:val="0"/>
              <w:spacing w:line="360" w:lineRule="auto"/>
              <w:rPr>
                <w:rFonts w:cs="宋体" w:asciiTheme="minorEastAsia" w:hAnsiTheme="minorEastAsia"/>
                <w:kern w:val="0"/>
                <w:szCs w:val="21"/>
              </w:rPr>
            </w:pPr>
            <w:r>
              <w:rPr>
                <w:rFonts w:hint="eastAsia" w:ascii="宋体" w:hAnsi="宋体" w:eastAsia="宋体" w:cs="Times New Roman"/>
                <w:color w:val="000000"/>
                <w:szCs w:val="21"/>
                <w:lang w:eastAsia="zh-CN"/>
              </w:rPr>
              <w:t>李弘博</w:t>
            </w:r>
            <w:r>
              <w:rPr>
                <w:rFonts w:hint="eastAsia" w:ascii="宋体" w:hAnsi="宋体" w:eastAsia="宋体" w:cs="Times New Roman"/>
                <w:color w:val="000000"/>
                <w:szCs w:val="21"/>
                <w:lang w:val="en-US" w:eastAsia="zh-CN"/>
              </w:rPr>
              <w:t xml:space="preserve"> </w:t>
            </w:r>
            <w:r>
              <w:rPr>
                <w:rFonts w:ascii="宋体" w:hAnsi="宋体" w:eastAsia="宋体" w:cs="Times New Roman"/>
                <w:color w:val="000000"/>
                <w:szCs w:val="21"/>
              </w:rPr>
              <w:t>2020-M1MMS-1231763</w:t>
            </w:r>
          </w:p>
        </w:tc>
        <w:tc>
          <w:tcPr>
            <w:tcW w:w="17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58" w:type="dxa"/>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综合部、</w:t>
            </w:r>
            <w:r>
              <w:rPr>
                <w:rFonts w:hint="eastAsia" w:ascii="宋体" w:hAnsi="宋体" w:eastAsia="宋体" w:cs="宋体"/>
                <w:sz w:val="21"/>
                <w:szCs w:val="21"/>
                <w:lang w:eastAsia="zh-CN"/>
              </w:rPr>
              <w:t>生技部、质量部</w:t>
            </w:r>
          </w:p>
          <w:p>
            <w:pPr>
              <w:spacing w:line="240" w:lineRule="auto"/>
              <w:jc w:val="center"/>
              <w:rPr>
                <w:rFonts w:cs="宋体" w:asciiTheme="minorEastAsia" w:hAnsiTheme="minorEastAsia"/>
                <w:kern w:val="0"/>
                <w:szCs w:val="21"/>
              </w:rPr>
            </w:pPr>
            <w:r>
              <w:rPr>
                <w:rFonts w:hint="eastAsia" w:ascii="宋体" w:hAnsi="宋体" w:eastAsia="宋体" w:cs="宋体"/>
                <w:sz w:val="21"/>
                <w:szCs w:val="21"/>
                <w:lang w:val="en-US" w:eastAsia="zh-CN"/>
              </w:rPr>
              <w:t>供销部、财务部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黑龙江省荣泽石油设备有限公司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28-29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管代梁丽任审核组长组织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12</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杨素娟</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梁丽</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配电箱接地保护连续测量</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配电箱接地保护连续测量测量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配电箱接地保护连续</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配电箱接地保护连续</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配电箱接地保护连续测量测量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18"/>
          <w:szCs w:val="18"/>
        </w:rPr>
        <w:t>中国航发南方工业有限公司计量实验室</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L1247</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。企业能源测量设备共计</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块，电表</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块</w:t>
      </w:r>
      <w:r>
        <w:rPr>
          <w:rFonts w:hint="eastAsia" w:ascii="Times New Roman" w:hAnsi="Times New Roman" w:cs="Times New Roman"/>
          <w:bCs/>
          <w:kern w:val="0"/>
          <w:szCs w:val="21"/>
          <w:lang w:eastAsia="zh-CN"/>
        </w:rPr>
        <w:t>、水表</w:t>
      </w:r>
      <w:r>
        <w:rPr>
          <w:rFonts w:hint="eastAsia" w:ascii="Times New Roman" w:hAnsi="Times New Roman" w:cs="Times New Roman"/>
          <w:bCs/>
          <w:kern w:val="0"/>
          <w:szCs w:val="21"/>
          <w:lang w:val="en-US" w:eastAsia="zh-CN"/>
        </w:rPr>
        <w:t>1块，</w:t>
      </w:r>
      <w:r>
        <w:rPr>
          <w:rFonts w:ascii="Times New Roman" w:hAnsi="Times New Roman" w:cs="Times New Roman"/>
          <w:bCs/>
          <w:kern w:val="0"/>
          <w:szCs w:val="21"/>
        </w:rPr>
        <w:t>主要耗能为电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20</w:t>
      </w:r>
      <w:r>
        <w:rPr>
          <w:rFonts w:hint="eastAsia" w:ascii="Times New Roman" w:hAnsi="Times New Roman" w:cs="Times New Roman"/>
          <w:bCs/>
          <w:kern w:val="0"/>
          <w:szCs w:val="21"/>
          <w:lang w:val="en-US" w:eastAsia="zh-CN"/>
        </w:rPr>
        <w:t>22</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1-10月份</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4.32</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360" w:lineRule="auto"/>
        <w:ind w:firstLine="420" w:firstLineChars="200"/>
        <w:outlineLvl w:val="0"/>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Times New Roman" w:hAnsi="Times New Roman" w:eastAsia="宋体" w:cs="Times New Roman"/>
          <w:bCs/>
          <w:szCs w:val="21"/>
        </w:rPr>
        <w:t>抽查“成品检验记录”，编号ZDC.JL.19</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rPr>
        <w:t>其中产品检验依据标准没有提供负责人员信息不满足标准GB/T 19022-2003标准</w:t>
      </w:r>
      <w:r>
        <w:rPr>
          <w:rFonts w:hint="eastAsia" w:ascii="Times New Roman" w:hAnsi="Times New Roman" w:eastAsia="宋体" w:cs="Times New Roman"/>
          <w:bCs/>
          <w:szCs w:val="21"/>
          <w:lang w:val="en-US" w:eastAsia="zh-CN"/>
        </w:rPr>
        <w:t>7</w:t>
      </w:r>
      <w:r>
        <w:rPr>
          <w:rFonts w:hint="eastAsia" w:ascii="Times New Roman" w:hAnsi="Times New Roman" w:eastAsia="宋体" w:cs="Times New Roman"/>
          <w:bCs/>
          <w:szCs w:val="21"/>
        </w:rPr>
        <w:t>.</w:t>
      </w:r>
      <w:r>
        <w:rPr>
          <w:rFonts w:hint="eastAsia" w:ascii="Times New Roman" w:hAnsi="Times New Roman" w:eastAsia="宋体" w:cs="Times New Roman"/>
          <w:bCs/>
          <w:szCs w:val="21"/>
          <w:lang w:val="en-US" w:eastAsia="zh-CN"/>
        </w:rPr>
        <w:t>2</w:t>
      </w:r>
      <w:r>
        <w:rPr>
          <w:rFonts w:hint="eastAsia" w:ascii="Times New Roman" w:hAnsi="Times New Roman" w:eastAsia="宋体" w:cs="Times New Roman"/>
          <w:bCs/>
          <w:szCs w:val="21"/>
        </w:rPr>
        <w:t>.</w:t>
      </w:r>
      <w:r>
        <w:rPr>
          <w:rFonts w:hint="eastAsia" w:ascii="Times New Roman" w:hAnsi="Times New Roman" w:eastAsia="宋体" w:cs="Times New Roman"/>
          <w:bCs/>
          <w:szCs w:val="21"/>
          <w:lang w:val="en-US" w:eastAsia="zh-CN"/>
        </w:rPr>
        <w:t>4（f）</w:t>
      </w:r>
      <w:r>
        <w:rPr>
          <w:rFonts w:hint="eastAsia" w:ascii="Times New Roman" w:hAnsi="Times New Roman" w:eastAsia="宋体" w:cs="Times New Roman"/>
          <w:bCs/>
          <w:szCs w:val="21"/>
        </w:rPr>
        <w:t>条款 测量</w:t>
      </w:r>
      <w:r>
        <w:rPr>
          <w:rFonts w:hint="eastAsia" w:ascii="Times New Roman" w:hAnsi="Times New Roman" w:eastAsia="宋体" w:cs="Times New Roman"/>
          <w:bCs/>
          <w:szCs w:val="21"/>
          <w:lang w:eastAsia="zh-CN"/>
        </w:rPr>
        <w:t>过程的记录的管理</w:t>
      </w:r>
      <w:r>
        <w:rPr>
          <w:rFonts w:hint="eastAsia" w:ascii="Times New Roman" w:hAnsi="Times New Roman" w:eastAsia="宋体" w:cs="Times New Roman"/>
          <w:bCs/>
          <w:szCs w:val="21"/>
        </w:rPr>
        <w:t>要求</w:t>
      </w:r>
      <w:r>
        <w:rPr>
          <w:rFonts w:hint="eastAsia" w:ascii="Times New Roman" w:hAnsi="Times New Roman" w:eastAsia="宋体" w:cs="Times New Roman"/>
          <w:bCs/>
          <w:szCs w:val="21"/>
          <w:lang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现场</w:t>
      </w:r>
      <w:r>
        <w:rPr>
          <w:rFonts w:hint="eastAsia" w:ascii="宋体" w:hAnsi="宋体" w:eastAsia="宋体" w:cs="宋体"/>
          <w:b w:val="0"/>
          <w:bCs/>
          <w:color w:val="auto"/>
          <w:kern w:val="0"/>
          <w:sz w:val="21"/>
          <w:szCs w:val="21"/>
        </w:rPr>
        <w:t>审核</w:t>
      </w:r>
      <w:r>
        <w:rPr>
          <w:rFonts w:hint="eastAsia" w:ascii="宋体" w:hAnsi="宋体" w:eastAsia="宋体" w:cs="宋体"/>
          <w:b w:val="0"/>
          <w:bCs/>
          <w:color w:val="auto"/>
          <w:kern w:val="0"/>
          <w:sz w:val="21"/>
          <w:szCs w:val="21"/>
          <w:lang w:eastAsia="zh-CN"/>
        </w:rPr>
        <w:t>老师</w:t>
      </w:r>
      <w:r>
        <w:rPr>
          <w:rFonts w:hint="eastAsia" w:ascii="宋体" w:hAnsi="宋体" w:eastAsia="宋体" w:cs="宋体"/>
          <w:b w:val="0"/>
          <w:bCs/>
          <w:color w:val="auto"/>
          <w:kern w:val="0"/>
          <w:sz w:val="21"/>
          <w:szCs w:val="21"/>
        </w:rPr>
        <w:t>，通过对整改完成情况及纠正措施有效性进行查验，确认公司上次审核中确定的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销售技术服务</w:t>
      </w:r>
      <w:r>
        <w:rPr>
          <w:rFonts w:hint="eastAsia"/>
          <w:b/>
          <w:bCs/>
          <w:color w:val="auto"/>
          <w:highlight w:val="none"/>
          <w:lang w:eastAsia="zh-CN"/>
        </w:rPr>
        <w:t>过程</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r>
        <w:rPr>
          <w:rFonts w:hint="eastAsia"/>
          <w:szCs w:val="21"/>
          <w:lang w:eastAsia="zh-CN"/>
        </w:rPr>
        <w:t>“</w:t>
      </w:r>
      <w:r>
        <w:rPr>
          <w:color w:val="000000"/>
          <w:szCs w:val="21"/>
        </w:rPr>
        <w:t>井口电参数产量监测仪，间抽井控制仪，配电网故障自动检测系统，原油电磁防蜡降粘器的组装加工（需许可资质的除外）。撬装式污油泥无害化处理设备及技术服务；水处理设备，环保设备制造；污水、污泥处理技术服务；机械设备专业清洗服务。抽油机用配电箱（资质范围内）的生产，配电柜的生产，数字化油田系列产品的设计、组装、销售、硬件及软件技术服务</w:t>
      </w:r>
      <w:r>
        <w:rPr>
          <w:rFonts w:hint="eastAsia"/>
          <w:color w:val="000000"/>
          <w:szCs w:val="21"/>
          <w:lang w:eastAsia="zh-CN"/>
        </w:rPr>
        <w:t>”</w:t>
      </w:r>
      <w:r>
        <w:rPr>
          <w:color w:val="auto"/>
          <w:szCs w:val="21"/>
          <w:highlight w:val="none"/>
        </w:rPr>
        <w:t>。</w:t>
      </w:r>
      <w:bookmarkStart w:id="10" w:name="_GoBack"/>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w:t>
      </w:r>
      <w:r>
        <w:rPr>
          <w:rFonts w:hint="eastAsia" w:ascii="Times New Roman" w:hAnsi="Times New Roman" w:eastAsia="宋体" w:cs="Times New Roman"/>
          <w:b w:val="0"/>
          <w:bCs w:val="0"/>
          <w:color w:val="auto"/>
          <w:sz w:val="21"/>
          <w:szCs w:val="21"/>
          <w:highlight w:val="none"/>
          <w:u w:val="none"/>
          <w:lang w:val="en-US" w:eastAsia="zh-CN"/>
        </w:rPr>
        <w:t>销售</w:t>
      </w:r>
      <w:r>
        <w:rPr>
          <w:rFonts w:hint="eastAsia" w:ascii="宋体" w:hAnsi="宋体" w:eastAsia="宋体" w:cs="宋体"/>
          <w:b w:val="0"/>
          <w:bCs w:val="0"/>
          <w:color w:val="auto"/>
          <w:szCs w:val="21"/>
          <w:lang w:eastAsia="zh-CN"/>
        </w:rPr>
        <w:t>技术服务</w:t>
      </w:r>
      <w:r>
        <w:rPr>
          <w:rFonts w:hint="eastAsia" w:ascii="宋体" w:hAnsi="宋体" w:eastAsia="宋体" w:cs="宋体"/>
          <w:b w:val="0"/>
          <w:bCs w:val="0"/>
          <w:color w:val="auto"/>
          <w:sz w:val="21"/>
          <w:szCs w:val="21"/>
          <w:highlight w:val="none"/>
          <w:u w:val="none"/>
          <w:lang w:val="en-US" w:eastAsia="zh-CN"/>
        </w:rPr>
        <w:t>合同：1</w:t>
      </w:r>
      <w:r>
        <w:rPr>
          <w:rFonts w:hint="eastAsia" w:ascii="宋体" w:hAnsi="宋体" w:eastAsia="宋体" w:cs="宋体"/>
          <w:b w:val="0"/>
          <w:bCs w:val="0"/>
          <w:color w:val="auto"/>
          <w:sz w:val="21"/>
          <w:szCs w:val="21"/>
          <w:highlight w:val="none"/>
          <w:u w:val="none"/>
          <w:lang w:eastAsia="zh-CN"/>
        </w:rPr>
        <w:t>企业与黑龙江省中科奥维科技有限公司，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20220216</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16</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签订地点：大庆。确认企业销售服务产品为：“抽油机用配电箱”等。2</w:t>
      </w:r>
      <w:r>
        <w:rPr>
          <w:rFonts w:hint="eastAsia" w:ascii="Times New Roman" w:hAnsi="Times New Roman" w:eastAsia="宋体" w:cs="Times New Roman"/>
          <w:b w:val="0"/>
          <w:bCs w:val="0"/>
          <w:color w:val="auto"/>
          <w:sz w:val="21"/>
          <w:szCs w:val="21"/>
          <w:highlight w:val="none"/>
          <w:u w:val="none"/>
          <w:lang w:eastAsia="zh-CN"/>
        </w:rPr>
        <w:t>企业与黑龙江省鼎润石油设备经销处，合同编号：</w:t>
      </w:r>
      <w:r>
        <w:rPr>
          <w:rFonts w:hint="eastAsia" w:ascii="Times New Roman" w:hAnsi="Times New Roman" w:eastAsia="宋体" w:cs="Times New Roman"/>
          <w:b w:val="0"/>
          <w:bCs w:val="0"/>
          <w:color w:val="auto"/>
          <w:sz w:val="21"/>
          <w:szCs w:val="21"/>
          <w:highlight w:val="none"/>
          <w:u w:val="none"/>
          <w:lang w:val="en-US" w:eastAsia="zh-CN"/>
        </w:rPr>
        <w:t>20220112</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2022年01月12日，签订地点：大庆。确认企业销售产品为：“</w:t>
      </w:r>
      <w:r>
        <w:rPr>
          <w:rFonts w:hint="eastAsia" w:ascii="宋体" w:hAnsi="宋体" w:cs="宋体"/>
          <w:sz w:val="21"/>
          <w:szCs w:val="21"/>
          <w:u w:val="none"/>
          <w:lang w:eastAsia="zh-CN"/>
        </w:rPr>
        <w:t>抽油机辅助装置</w:t>
      </w:r>
      <w:r>
        <w:rPr>
          <w:rFonts w:hint="eastAsia" w:ascii="Times New Roman" w:hAnsi="Times New Roman" w:eastAsia="宋体" w:cs="Times New Roman"/>
          <w:b w:val="0"/>
          <w:bCs w:val="0"/>
          <w:color w:val="auto"/>
          <w:sz w:val="21"/>
          <w:szCs w:val="21"/>
          <w:highlight w:val="none"/>
          <w:u w:val="none"/>
          <w:lang w:val="en-US" w:eastAsia="zh-CN"/>
        </w:rPr>
        <w:t>”等</w:t>
      </w:r>
      <w:r>
        <w:rPr>
          <w:color w:val="auto"/>
          <w:sz w:val="21"/>
          <w:szCs w:val="21"/>
          <w:highlight w:val="none"/>
          <w:u w:val="none"/>
        </w:rPr>
        <w:t>产品</w:t>
      </w:r>
      <w:r>
        <w:rPr>
          <w:rFonts w:hint="eastAsia"/>
          <w:color w:val="auto"/>
          <w:sz w:val="21"/>
          <w:szCs w:val="21"/>
          <w:highlight w:val="none"/>
          <w:u w:val="none"/>
          <w:lang w:eastAsia="zh-CN"/>
        </w:rPr>
        <w:t>设计、加工</w:t>
      </w:r>
      <w:r>
        <w:rPr>
          <w:color w:val="000000"/>
          <w:sz w:val="21"/>
          <w:szCs w:val="21"/>
          <w:u w:val="none"/>
        </w:rPr>
        <w:t>、销售和技术服务</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bookmarkEnd w:id="10"/>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2021年11-12月和2022年1-9月，5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b w:val="0"/>
          <w:bCs/>
          <w:color w:val="auto"/>
          <w:sz w:val="21"/>
          <w:szCs w:val="21"/>
          <w:highlight w:val="none"/>
        </w:rPr>
        <w:t>企业的资质情况</w:t>
      </w:r>
      <w:r>
        <w:rPr>
          <w:rFonts w:hint="eastAsia" w:ascii="宋体" w:hAnsi="宋体"/>
          <w:b w:val="0"/>
          <w:bCs/>
          <w:color w:val="auto"/>
          <w:sz w:val="21"/>
          <w:szCs w:val="21"/>
          <w:highlight w:val="none"/>
          <w:lang w:eastAsia="zh-CN"/>
        </w:rPr>
        <w:t>未</w:t>
      </w:r>
      <w:r>
        <w:rPr>
          <w:rFonts w:hint="eastAsia" w:ascii="宋体" w:hAnsi="宋体"/>
          <w:b w:val="0"/>
          <w:bCs/>
          <w:color w:val="auto"/>
          <w:sz w:val="21"/>
          <w:szCs w:val="21"/>
          <w:highlight w:val="none"/>
        </w:rPr>
        <w:t>发生变化</w:t>
      </w:r>
      <w:r>
        <w:rPr>
          <w:rFonts w:hint="eastAsia" w:ascii="宋体" w:hAnsi="宋体"/>
          <w:b w:val="0"/>
          <w:bCs/>
          <w:color w:val="auto"/>
          <w:sz w:val="21"/>
          <w:szCs w:val="21"/>
          <w:highlight w:val="none"/>
          <w:lang w:eastAsia="zh-CN"/>
        </w:rPr>
        <w:t>、企业</w:t>
      </w:r>
      <w:r>
        <w:rPr>
          <w:rFonts w:hint="eastAsia" w:ascii="宋体" w:hAnsi="宋体"/>
          <w:b w:val="0"/>
          <w:bCs/>
          <w:color w:val="auto"/>
          <w:sz w:val="21"/>
          <w:szCs w:val="21"/>
          <w:highlight w:val="none"/>
        </w:rPr>
        <w:t>组织</w:t>
      </w:r>
      <w:r>
        <w:rPr>
          <w:rFonts w:hint="eastAsia" w:ascii="宋体" w:hAnsi="宋体"/>
          <w:b w:val="0"/>
          <w:bCs/>
          <w:color w:val="auto"/>
          <w:sz w:val="21"/>
          <w:szCs w:val="21"/>
          <w:highlight w:val="none"/>
          <w:lang w:eastAsia="zh-CN"/>
        </w:rPr>
        <w:t>机构由原生产部、技术部整合为生技部、财务部纳入</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中。</w:t>
      </w:r>
      <w:r>
        <w:rPr>
          <w:rFonts w:hint="eastAsia" w:ascii="宋体" w:hAnsi="宋体"/>
          <w:b w:val="0"/>
          <w:bCs/>
          <w:color w:val="auto"/>
          <w:sz w:val="21"/>
          <w:szCs w:val="21"/>
          <w:highlight w:val="none"/>
          <w:lang w:val="en-US" w:eastAsia="zh-CN"/>
        </w:rPr>
        <w:t>企业经营范围等均未变化</w:t>
      </w:r>
      <w:r>
        <w:rPr>
          <w:rFonts w:hint="eastAsia" w:ascii="宋体" w:hAnsi="宋体"/>
          <w:b w:val="0"/>
          <w:bCs/>
          <w:color w:val="auto"/>
          <w:sz w:val="21"/>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360" w:lineRule="auto"/>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hAnsi="宋体" w:cs="宋体"/>
          <w:kern w:val="0"/>
          <w:szCs w:val="21"/>
        </w:rPr>
        <w:t>供销部未能及时收回2022年外部客户满意度调查问卷。不符合GB/T19022-2003标准中 8.2.2条款“计量职能应就顾客的计量要求是否已满足来监视有关顾客满意的信息。应规定获得和使用信息的方法”</w:t>
      </w:r>
      <w:r>
        <w:rPr>
          <w:rFonts w:hint="eastAsia" w:hAnsi="宋体" w:cs="宋体"/>
          <w:kern w:val="0"/>
          <w:szCs w:val="21"/>
          <w:lang w:eastAsia="zh-CN"/>
        </w:rPr>
        <w:t>的规定要求</w:t>
      </w:r>
      <w:r>
        <w:rPr>
          <w:rFonts w:hint="eastAsia" w:ascii="宋体" w:hAnsi="宋体" w:eastAsia="宋体" w:cs="Times New Roman"/>
          <w:color w:val="auto"/>
          <w:szCs w:val="21"/>
          <w:lang w:eastAsia="zh-CN"/>
        </w:rPr>
        <w:t>。</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10</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31日</w:t>
      </w:r>
      <w:r>
        <w:rPr>
          <w:rFonts w:hint="eastAsia" w:ascii="宋体" w:hAnsi="宋体" w:cs="宋体"/>
          <w:bCs/>
          <w:color w:val="auto"/>
          <w:kern w:val="0"/>
          <w:szCs w:val="21"/>
        </w:rPr>
        <w:t>，</w:t>
      </w:r>
      <w:r>
        <w:rPr>
          <w:rFonts w:hint="eastAsia" w:ascii="宋体" w:hAnsi="宋体" w:cs="宋体"/>
          <w:bCs/>
          <w:color w:val="auto"/>
          <w:kern w:val="0"/>
          <w:szCs w:val="21"/>
          <w:lang w:eastAsia="zh-CN"/>
        </w:rPr>
        <w:t>黑龙江省荣泽石油设备有限公司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w:t>
      </w:r>
      <w:r>
        <w:rPr>
          <w:rFonts w:hint="eastAsia" w:ascii="宋体" w:hAnsi="宋体" w:cs="宋体"/>
          <w:bCs/>
          <w:color w:val="auto"/>
          <w:kern w:val="0"/>
          <w:szCs w:val="21"/>
        </w:rPr>
        <w:t>监督，验证了公司在测量管理体系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黑龙江省荣泽石油设备有限公司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0"/>
        </w:numPr>
        <w:spacing w:line="360" w:lineRule="auto"/>
        <w:rPr>
          <w:rFonts w:hint="eastAsia" w:ascii="宋体" w:hAnsi="宋体" w:eastAsia="宋体" w:cs="宋体"/>
          <w:bCs/>
          <w:color w:val="auto"/>
          <w:kern w:val="0"/>
          <w:szCs w:val="21"/>
        </w:rPr>
      </w:pPr>
      <w:r>
        <w:rPr>
          <w:rFonts w:hint="eastAsia" w:ascii="Times New Roman" w:hAnsi="Times New Roman" w:cs="Times New Roman"/>
          <w:bCs/>
          <w:kern w:val="0"/>
          <w:szCs w:val="21"/>
          <w:lang w:val="en-US" w:eastAsia="zh-CN"/>
        </w:rPr>
        <w:t>2、建议企业内审员参加专业培训、以满足测量体系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此次现场结合</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rPr>
          <w:rFonts w:ascii="宋体" w:hAnsi="宋体" w:eastAsia="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2022.10.31</w:t>
      </w:r>
    </w:p>
    <w:p>
      <w:pPr>
        <w:widowControl/>
        <w:spacing w:line="360" w:lineRule="auto"/>
        <w:rPr>
          <w:rFonts w:hint="eastAsia" w:ascii="宋体" w:hAnsi="宋体" w:cs="宋体"/>
          <w:b/>
          <w:bCs/>
          <w:kern w:val="0"/>
          <w:szCs w:val="21"/>
        </w:rPr>
      </w:pPr>
      <w:r>
        <w:rPr>
          <w:rFonts w:ascii="Times New Roman" w:hAnsi="Times New Roman" w:eastAsia="宋体" w:cs="Times New Roman"/>
          <w:szCs w:val="21"/>
        </w:rPr>
        <w:drawing>
          <wp:anchor distT="0" distB="0" distL="114300" distR="114300" simplePos="0" relativeHeight="251662336" behindDoc="0" locked="0" layoutInCell="1" allowOverlap="1">
            <wp:simplePos x="0" y="0"/>
            <wp:positionH relativeFrom="column">
              <wp:posOffset>1452880</wp:posOffset>
            </wp:positionH>
            <wp:positionV relativeFrom="paragraph">
              <wp:posOffset>81280</wp:posOffset>
            </wp:positionV>
            <wp:extent cx="433070" cy="532130"/>
            <wp:effectExtent l="0" t="0" r="1270" b="5080"/>
            <wp:wrapNone/>
            <wp:docPr id="5" name="图片 2" descr="微信图片_2021110808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11108085719.jpg"/>
                    <pic:cNvPicPr>
                      <a:picLocks noChangeAspect="1"/>
                    </pic:cNvPicPr>
                  </pic:nvPicPr>
                  <pic:blipFill>
                    <a:blip r:embed="rId7"/>
                    <a:stretch>
                      <a:fillRect/>
                    </a:stretch>
                  </pic:blipFill>
                  <pic:spPr>
                    <a:xfrm rot="-5400000">
                      <a:off x="0" y="0"/>
                      <a:ext cx="433070" cy="532130"/>
                    </a:xfrm>
                    <a:prstGeom prst="rect">
                      <a:avLst/>
                    </a:prstGeom>
                    <a:noFill/>
                    <a:ln>
                      <a:noFill/>
                    </a:ln>
                  </pic:spPr>
                </pic:pic>
              </a:graphicData>
            </a:graphic>
          </wp:anchor>
        </w:drawing>
      </w:r>
    </w:p>
    <w:p>
      <w:pPr>
        <w:widowControl/>
        <w:numPr>
          <w:ilvl w:val="0"/>
          <w:numId w:val="0"/>
        </w:numPr>
        <w:bidi w:val="0"/>
        <w:spacing w:line="360" w:lineRule="auto"/>
        <w:jc w:val="left"/>
        <w:rPr>
          <w:rFonts w:hint="default" w:ascii="宋体" w:hAnsi="宋体" w:cs="宋体"/>
          <w:b/>
          <w:bCs/>
          <w:kern w:val="0"/>
          <w:szCs w:val="21"/>
          <w:lang w:val="en-US"/>
        </w:rPr>
      </w:pPr>
      <w:r>
        <w:rPr>
          <w:rFonts w:ascii="宋体" w:hAnsi="宋体" w:cs="宋体"/>
          <w:b/>
          <w:bCs/>
          <w:color w:val="000000"/>
          <w:kern w:val="0"/>
          <w:szCs w:val="21"/>
        </w:rPr>
        <w:t>审核</w:t>
      </w:r>
      <w:r>
        <w:rPr>
          <w:rFonts w:hint="eastAsia" w:ascii="宋体" w:hAnsi="宋体" w:cs="宋体"/>
          <w:b/>
          <w:bCs/>
          <w:color w:val="000000"/>
          <w:kern w:val="0"/>
          <w:szCs w:val="21"/>
        </w:rPr>
        <w:t>组成员(</w:t>
      </w:r>
      <w:r>
        <w:rPr>
          <w:rFonts w:ascii="宋体" w:hAnsi="宋体" w:cs="宋体"/>
          <w:b/>
          <w:bCs/>
          <w:color w:val="000000"/>
          <w:kern w:val="0"/>
          <w:szCs w:val="21"/>
        </w:rPr>
        <w:t>签字</w:t>
      </w:r>
      <w:r>
        <w:rPr>
          <w:rFonts w:hint="eastAsia" w:ascii="宋体" w:hAnsi="宋体" w:cs="宋体"/>
          <w:b/>
          <w:bCs/>
          <w:color w:val="000000"/>
          <w:kern w:val="0"/>
          <w:szCs w:val="21"/>
        </w:rPr>
        <w:t>)</w:t>
      </w:r>
      <w:r>
        <w:rPr>
          <w:rFonts w:ascii="宋体" w:hAnsi="宋体" w:cs="宋体"/>
          <w:b/>
          <w:bCs/>
          <w:color w:val="000000"/>
          <w:kern w:val="0"/>
          <w:szCs w:val="21"/>
        </w:rPr>
        <w:t>：</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ascii="宋体" w:hAnsi="宋体" w:cs="宋体"/>
          <w:b/>
          <w:bCs/>
          <w:color w:val="000000"/>
          <w:kern w:val="0"/>
          <w:szCs w:val="21"/>
        </w:rPr>
        <w:t>日期：</w:t>
      </w:r>
      <w:r>
        <w:rPr>
          <w:rFonts w:hint="eastAsia" w:ascii="宋体" w:hAnsi="宋体" w:cs="宋体"/>
          <w:b/>
          <w:bCs/>
          <w:color w:val="000000"/>
          <w:kern w:val="0"/>
          <w:szCs w:val="21"/>
        </w:rPr>
        <w:t xml:space="preserve">  </w:t>
      </w:r>
      <w:r>
        <w:rPr>
          <w:rFonts w:hint="eastAsia" w:ascii="宋体" w:hAnsi="宋体" w:cs="宋体"/>
          <w:b/>
          <w:bCs/>
          <w:kern w:val="0"/>
          <w:szCs w:val="21"/>
          <w:lang w:val="en-US" w:eastAsia="zh-CN"/>
        </w:rPr>
        <w:t>2022.10.31</w:t>
      </w:r>
    </w:p>
    <w:p>
      <w:pPr>
        <w:widowControl/>
        <w:spacing w:line="276" w:lineRule="auto"/>
        <w:rPr>
          <w:rFonts w:cs="宋体" w:asciiTheme="minorEastAsia" w:hAnsiTheme="minorEastAsia"/>
          <w:bCs/>
          <w:kern w:val="0"/>
          <w:szCs w:val="21"/>
        </w:rPr>
      </w:pPr>
    </w:p>
    <w:p>
      <w:pPr>
        <w:widowControl/>
        <w:spacing w:line="360" w:lineRule="auto"/>
        <w:jc w:val="left"/>
        <w:rPr>
          <w:rFonts w:ascii="宋体" w:hAnsi="宋体" w:cs="宋体"/>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3347513"/>
    <w:rsid w:val="0B4F0199"/>
    <w:rsid w:val="0DA2581C"/>
    <w:rsid w:val="1236781A"/>
    <w:rsid w:val="175F3A8E"/>
    <w:rsid w:val="25C57501"/>
    <w:rsid w:val="27C905C0"/>
    <w:rsid w:val="2F816716"/>
    <w:rsid w:val="302901BA"/>
    <w:rsid w:val="3223180B"/>
    <w:rsid w:val="331118C4"/>
    <w:rsid w:val="3B062418"/>
    <w:rsid w:val="3E2D044D"/>
    <w:rsid w:val="4342435E"/>
    <w:rsid w:val="4B015C23"/>
    <w:rsid w:val="4C806C7C"/>
    <w:rsid w:val="64655370"/>
    <w:rsid w:val="6DA64F54"/>
    <w:rsid w:val="7AB75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3402</Words>
  <Characters>3760</Characters>
  <Lines>15</Lines>
  <Paragraphs>4</Paragraphs>
  <TotalTime>43</TotalTime>
  <ScaleCrop>false</ScaleCrop>
  <LinksUpToDate>false</LinksUpToDate>
  <CharactersWithSpaces>3862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2022-11-01T03:13:02Z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25E5DFC7697C444DBEB68183C3BEACFC</vt:lpwstr>
  </property>
</Properties>
</file>