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p>
      <w:pPr>
        <w:jc w:val="right"/>
        <w:rPr>
          <w:rFonts w:ascii="Times New Roman" w:hAnsi="Times New Roman" w:cs="Times New Roman"/>
          <w:sz w:val="20"/>
          <w:szCs w:val="28"/>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1355-2021-2022</w:t>
      </w:r>
      <w:bookmarkEnd w:id="0"/>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958"/>
        <w:gridCol w:w="940"/>
        <w:gridCol w:w="1280"/>
        <w:gridCol w:w="1840"/>
        <w:gridCol w:w="1360"/>
        <w:gridCol w:w="163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Cs w:val="21"/>
              </w:rPr>
            </w:pPr>
            <w:r>
              <w:rPr>
                <w:rFonts w:hint="eastAsia"/>
                <w:szCs w:val="21"/>
              </w:rPr>
              <w:t>企业名称</w:t>
            </w:r>
          </w:p>
        </w:tc>
        <w:tc>
          <w:tcPr>
            <w:tcW w:w="9956" w:type="dxa"/>
            <w:gridSpan w:val="8"/>
            <w:vAlign w:val="center"/>
          </w:tcPr>
          <w:p>
            <w:pPr>
              <w:jc w:val="left"/>
              <w:rPr>
                <w:szCs w:val="21"/>
              </w:rPr>
            </w:pPr>
            <w:bookmarkStart w:id="1" w:name="组织名称"/>
            <w:r>
              <w:rPr>
                <w:rFonts w:hint="eastAsia" w:ascii="宋体" w:hAnsi="宋体"/>
                <w:szCs w:val="21"/>
                <w:lang w:val="en-US" w:eastAsia="zh-CN"/>
              </w:rPr>
              <w:t>新疆金石钻采设备</w:t>
            </w:r>
            <w:r>
              <w:rPr>
                <w:rFonts w:hint="eastAsia" w:ascii="宋体" w:hAnsi="宋体"/>
                <w:szCs w:val="21"/>
              </w:rPr>
              <w:t>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76" w:type="dxa"/>
            <w:vAlign w:val="center"/>
          </w:tcPr>
          <w:p>
            <w:pPr>
              <w:jc w:val="center"/>
              <w:rPr>
                <w:sz w:val="18"/>
                <w:szCs w:val="18"/>
              </w:rPr>
            </w:pPr>
            <w:r>
              <w:rPr>
                <w:rFonts w:hint="eastAsia"/>
                <w:sz w:val="18"/>
                <w:szCs w:val="18"/>
              </w:rPr>
              <w:t>部门</w:t>
            </w:r>
          </w:p>
        </w:tc>
        <w:tc>
          <w:tcPr>
            <w:tcW w:w="992" w:type="dxa"/>
            <w:vAlign w:val="center"/>
          </w:tcPr>
          <w:p>
            <w:pPr>
              <w:jc w:val="center"/>
              <w:rPr>
                <w:sz w:val="18"/>
                <w:szCs w:val="18"/>
              </w:rPr>
            </w:pPr>
            <w:r>
              <w:rPr>
                <w:rFonts w:hint="eastAsia"/>
                <w:sz w:val="18"/>
                <w:szCs w:val="18"/>
              </w:rPr>
              <w:t>测量设备名称</w:t>
            </w:r>
          </w:p>
        </w:tc>
        <w:tc>
          <w:tcPr>
            <w:tcW w:w="958" w:type="dxa"/>
            <w:vAlign w:val="center"/>
          </w:tcPr>
          <w:p>
            <w:pPr>
              <w:jc w:val="center"/>
              <w:rPr>
                <w:sz w:val="18"/>
                <w:szCs w:val="18"/>
              </w:rPr>
            </w:pPr>
            <w:r>
              <w:rPr>
                <w:rFonts w:hint="eastAsia"/>
                <w:sz w:val="18"/>
                <w:szCs w:val="18"/>
              </w:rPr>
              <w:t>测量设备编号</w:t>
            </w:r>
          </w:p>
        </w:tc>
        <w:tc>
          <w:tcPr>
            <w:tcW w:w="940"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280"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840"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360" w:type="dxa"/>
            <w:vAlign w:val="center"/>
          </w:tcPr>
          <w:p>
            <w:pPr>
              <w:jc w:val="center"/>
              <w:rPr>
                <w:sz w:val="18"/>
                <w:szCs w:val="18"/>
              </w:rPr>
            </w:pPr>
            <w:r>
              <w:rPr>
                <w:rFonts w:hint="eastAsia"/>
                <w:sz w:val="18"/>
                <w:szCs w:val="18"/>
              </w:rPr>
              <w:t>检定/校准机构</w:t>
            </w:r>
          </w:p>
        </w:tc>
        <w:tc>
          <w:tcPr>
            <w:tcW w:w="1634" w:type="dxa"/>
            <w:vAlign w:val="center"/>
          </w:tcPr>
          <w:p>
            <w:pPr>
              <w:jc w:val="center"/>
              <w:rPr>
                <w:sz w:val="18"/>
                <w:szCs w:val="18"/>
              </w:rPr>
            </w:pPr>
            <w:r>
              <w:rPr>
                <w:rFonts w:hint="eastAsia"/>
                <w:sz w:val="18"/>
                <w:szCs w:val="18"/>
              </w:rPr>
              <w:t>检定/校准日期</w:t>
            </w:r>
          </w:p>
        </w:tc>
        <w:tc>
          <w:tcPr>
            <w:tcW w:w="952"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6" w:type="dxa"/>
            <w:vAlign w:val="center"/>
          </w:tcPr>
          <w:p>
            <w:pPr>
              <w:jc w:val="center"/>
              <w:rPr>
                <w:rFonts w:hint="eastAsia" w:eastAsiaTheme="minorEastAsia"/>
                <w:color w:val="auto"/>
                <w:sz w:val="18"/>
                <w:szCs w:val="18"/>
                <w:lang w:eastAsia="zh-CN"/>
              </w:rPr>
            </w:pPr>
            <w:r>
              <w:rPr>
                <w:rFonts w:hint="eastAsia"/>
                <w:color w:val="auto"/>
                <w:sz w:val="18"/>
                <w:szCs w:val="18"/>
                <w:lang w:val="en-US" w:eastAsia="zh-CN"/>
              </w:rPr>
              <w:t>质量技术部</w:t>
            </w:r>
          </w:p>
        </w:tc>
        <w:tc>
          <w:tcPr>
            <w:tcW w:w="99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压力变送器</w:t>
            </w:r>
          </w:p>
        </w:tc>
        <w:tc>
          <w:tcPr>
            <w:tcW w:w="958"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12021824</w:t>
            </w:r>
          </w:p>
        </w:tc>
        <w:tc>
          <w:tcPr>
            <w:tcW w:w="940"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DG1300-BZ-A-Z-250/CJ/GZ</w:t>
            </w:r>
          </w:p>
        </w:tc>
        <w:tc>
          <w:tcPr>
            <w:tcW w:w="1280" w:type="dxa"/>
            <w:vAlign w:val="top"/>
          </w:tcPr>
          <w:p>
            <w:pPr>
              <w:tabs>
                <w:tab w:val="center" w:pos="532"/>
              </w:tabs>
              <w:jc w:val="both"/>
              <w:rPr>
                <w:rFonts w:hint="eastAsia"/>
                <w:color w:val="auto"/>
                <w:sz w:val="18"/>
                <w:szCs w:val="18"/>
              </w:rPr>
            </w:pPr>
          </w:p>
          <w:p>
            <w:pPr>
              <w:tabs>
                <w:tab w:val="center" w:pos="532"/>
              </w:tabs>
              <w:ind w:firstLine="360" w:firstLineChars="200"/>
              <w:jc w:val="both"/>
              <w:rPr>
                <w:rFonts w:hint="eastAsia"/>
                <w:color w:val="auto"/>
                <w:sz w:val="18"/>
                <w:szCs w:val="18"/>
                <w:lang w:eastAsia="zh-CN"/>
              </w:rPr>
            </w:pPr>
            <w:r>
              <w:rPr>
                <w:rFonts w:hint="eastAsia"/>
                <w:color w:val="auto"/>
                <w:sz w:val="18"/>
                <w:szCs w:val="18"/>
              </w:rPr>
              <w:t>0.</w:t>
            </w:r>
            <w:r>
              <w:rPr>
                <w:rFonts w:hint="eastAsia"/>
                <w:color w:val="auto"/>
                <w:sz w:val="18"/>
                <w:szCs w:val="18"/>
                <w:lang w:val="en-US" w:eastAsia="zh-CN"/>
              </w:rPr>
              <w:t>5</w:t>
            </w:r>
            <w:r>
              <w:rPr>
                <w:rFonts w:hint="eastAsia"/>
                <w:color w:val="auto"/>
                <w:sz w:val="18"/>
                <w:szCs w:val="18"/>
              </w:rPr>
              <w:t>级</w:t>
            </w:r>
            <w:r>
              <w:rPr>
                <w:rFonts w:hint="eastAsia"/>
                <w:color w:val="auto"/>
                <w:sz w:val="18"/>
                <w:szCs w:val="18"/>
                <w:lang w:eastAsia="zh-CN"/>
              </w:rPr>
              <w:tab/>
            </w:r>
          </w:p>
          <w:p>
            <w:pPr>
              <w:jc w:val="both"/>
              <w:rPr>
                <w:rFonts w:asciiTheme="minorHAnsi" w:hAnsiTheme="minorHAnsi" w:eastAsiaTheme="minorEastAsia" w:cstheme="minorBidi"/>
                <w:color w:val="auto"/>
                <w:kern w:val="2"/>
                <w:sz w:val="18"/>
                <w:szCs w:val="18"/>
                <w:lang w:val="en-US" w:eastAsia="zh-CN" w:bidi="ar-SA"/>
              </w:rPr>
            </w:pPr>
          </w:p>
        </w:tc>
        <w:tc>
          <w:tcPr>
            <w:tcW w:w="1840" w:type="dxa"/>
            <w:vAlign w:val="top"/>
          </w:tcPr>
          <w:p>
            <w:pPr>
              <w:jc w:val="both"/>
              <w:rPr>
                <w:rFonts w:hint="eastAsia" w:eastAsiaTheme="minorEastAsia"/>
                <w:color w:val="auto"/>
                <w:sz w:val="18"/>
                <w:szCs w:val="18"/>
                <w:lang w:eastAsia="zh-CN"/>
              </w:rPr>
            </w:pPr>
            <w:r>
              <w:rPr>
                <w:rFonts w:hint="eastAsia"/>
                <w:color w:val="auto"/>
                <w:sz w:val="18"/>
                <w:szCs w:val="18"/>
              </w:rPr>
              <w:t>过程仪表校验仪</w:t>
            </w:r>
            <w:r>
              <w:rPr>
                <w:rFonts w:hint="eastAsia"/>
                <w:color w:val="auto"/>
                <w:sz w:val="18"/>
                <w:szCs w:val="18"/>
                <w:lang w:eastAsia="zh-CN"/>
              </w:rPr>
              <w:t>：</w:t>
            </w:r>
          </w:p>
          <w:p>
            <w:pPr>
              <w:jc w:val="both"/>
              <w:rPr>
                <w:rFonts w:hint="eastAsia"/>
                <w:color w:val="auto"/>
                <w:sz w:val="18"/>
                <w:szCs w:val="18"/>
              </w:rPr>
            </w:pPr>
            <w:r>
              <w:rPr>
                <w:rFonts w:hint="eastAsia"/>
                <w:color w:val="auto"/>
                <w:sz w:val="18"/>
                <w:szCs w:val="18"/>
              </w:rPr>
              <w:t>0.01级</w:t>
            </w:r>
          </w:p>
          <w:p>
            <w:pPr>
              <w:jc w:val="both"/>
              <w:rPr>
                <w:rFonts w:hint="eastAsia" w:eastAsiaTheme="minorEastAsia"/>
                <w:color w:val="auto"/>
                <w:sz w:val="18"/>
                <w:szCs w:val="18"/>
                <w:lang w:eastAsia="zh-CN"/>
              </w:rPr>
            </w:pPr>
            <w:r>
              <w:rPr>
                <w:rFonts w:hint="eastAsia"/>
                <w:color w:val="auto"/>
                <w:sz w:val="18"/>
                <w:szCs w:val="18"/>
              </w:rPr>
              <w:t>标准活塞式压力计</w:t>
            </w:r>
            <w:r>
              <w:rPr>
                <w:rFonts w:hint="eastAsia"/>
                <w:color w:val="auto"/>
                <w:sz w:val="18"/>
                <w:szCs w:val="18"/>
                <w:lang w:eastAsia="zh-CN"/>
              </w:rPr>
              <w:t>：</w:t>
            </w:r>
          </w:p>
          <w:p>
            <w:pPr>
              <w:jc w:val="both"/>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0.02级</w:t>
            </w:r>
          </w:p>
        </w:tc>
        <w:tc>
          <w:tcPr>
            <w:tcW w:w="1360"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新疆维吾尔自治区计量测试研究院</w:t>
            </w:r>
          </w:p>
        </w:tc>
        <w:tc>
          <w:tcPr>
            <w:tcW w:w="1634"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2022年4月13日</w:t>
            </w:r>
          </w:p>
        </w:tc>
        <w:tc>
          <w:tcPr>
            <w:tcW w:w="952"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276" w:type="dxa"/>
            <w:vAlign w:val="center"/>
          </w:tcPr>
          <w:p>
            <w:pPr>
              <w:jc w:val="center"/>
              <w:rPr>
                <w:rFonts w:hint="default"/>
                <w:color w:val="auto"/>
                <w:sz w:val="18"/>
                <w:szCs w:val="18"/>
                <w:lang w:val="en-US"/>
              </w:rPr>
            </w:pPr>
            <w:r>
              <w:rPr>
                <w:rFonts w:hint="eastAsia"/>
                <w:color w:val="auto"/>
                <w:sz w:val="18"/>
                <w:szCs w:val="18"/>
                <w:lang w:val="en-US" w:eastAsia="zh-CN"/>
              </w:rPr>
              <w:t>质量技术部</w:t>
            </w:r>
          </w:p>
        </w:tc>
        <w:tc>
          <w:tcPr>
            <w:tcW w:w="99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电脑控制金相分析仪</w:t>
            </w:r>
          </w:p>
        </w:tc>
        <w:tc>
          <w:tcPr>
            <w:tcW w:w="958"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8024</w:t>
            </w:r>
          </w:p>
        </w:tc>
        <w:tc>
          <w:tcPr>
            <w:tcW w:w="940"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NJ-JX8</w:t>
            </w:r>
          </w:p>
        </w:tc>
        <w:tc>
          <w:tcPr>
            <w:tcW w:w="1280" w:type="dxa"/>
            <w:vAlign w:val="center"/>
          </w:tcPr>
          <w:p>
            <w:pPr>
              <w:jc w:val="center"/>
              <w:rPr>
                <w:rFonts w:hint="eastAsia"/>
                <w:color w:val="auto"/>
                <w:sz w:val="18"/>
                <w:szCs w:val="18"/>
              </w:rPr>
            </w:pPr>
            <w:r>
              <w:rPr>
                <w:rFonts w:hint="eastAsia"/>
                <w:color w:val="auto"/>
                <w:sz w:val="18"/>
                <w:szCs w:val="18"/>
              </w:rPr>
              <w:t>U</w:t>
            </w:r>
            <w:r>
              <w:rPr>
                <w:rFonts w:hint="default" w:ascii="Calibri" w:hAnsi="Calibri" w:cs="Calibri"/>
                <w:color w:val="auto"/>
                <w:sz w:val="18"/>
                <w:szCs w:val="18"/>
              </w:rPr>
              <w:t>re</w:t>
            </w:r>
            <w:r>
              <w:rPr>
                <w:rFonts w:hint="eastAsia"/>
                <w:color w:val="auto"/>
                <w:sz w:val="18"/>
                <w:szCs w:val="18"/>
                <w:lang w:val="en-US" w:eastAsia="zh-CN"/>
              </w:rPr>
              <w:t>l</w:t>
            </w:r>
            <w:r>
              <w:rPr>
                <w:rFonts w:hint="eastAsia"/>
                <w:color w:val="auto"/>
                <w:sz w:val="18"/>
                <w:szCs w:val="18"/>
              </w:rPr>
              <w:t>=</w:t>
            </w:r>
            <w:r>
              <w:rPr>
                <w:rFonts w:hint="eastAsia"/>
                <w:color w:val="auto"/>
                <w:sz w:val="18"/>
                <w:szCs w:val="18"/>
                <w:lang w:val="en-US" w:eastAsia="zh-CN"/>
              </w:rPr>
              <w:t>1.1</w:t>
            </w:r>
            <w:r>
              <w:rPr>
                <w:rFonts w:hint="eastAsia"/>
                <w:color w:val="auto"/>
                <w:sz w:val="18"/>
                <w:szCs w:val="18"/>
              </w:rPr>
              <w:t>%，k=2</w:t>
            </w:r>
          </w:p>
          <w:p>
            <w:pPr>
              <w:jc w:val="both"/>
              <w:rPr>
                <w:color w:val="auto"/>
                <w:sz w:val="18"/>
                <w:szCs w:val="18"/>
              </w:rPr>
            </w:pPr>
          </w:p>
        </w:tc>
        <w:tc>
          <w:tcPr>
            <w:tcW w:w="1840" w:type="dxa"/>
            <w:vAlign w:val="top"/>
          </w:tcPr>
          <w:p>
            <w:pPr>
              <w:jc w:val="both"/>
              <w:rPr>
                <w:rFonts w:hint="eastAsia"/>
                <w:color w:val="auto"/>
                <w:sz w:val="18"/>
                <w:szCs w:val="18"/>
                <w:lang w:val="en-US" w:eastAsia="zh-CN"/>
              </w:rPr>
            </w:pPr>
            <w:r>
              <w:rPr>
                <w:rFonts w:hint="eastAsia"/>
                <w:color w:val="auto"/>
                <w:sz w:val="18"/>
                <w:szCs w:val="18"/>
                <w:lang w:val="en-US" w:eastAsia="zh-CN"/>
              </w:rPr>
              <w:t>测微尺U=0.2μmK=2</w:t>
            </w:r>
          </w:p>
          <w:p>
            <w:pPr>
              <w:jc w:val="both"/>
              <w:rPr>
                <w:rFonts w:hint="default"/>
                <w:color w:val="auto"/>
                <w:sz w:val="18"/>
                <w:szCs w:val="18"/>
                <w:lang w:val="en-US" w:eastAsia="zh-CN"/>
              </w:rPr>
            </w:pPr>
          </w:p>
        </w:tc>
        <w:tc>
          <w:tcPr>
            <w:tcW w:w="1360"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stheme="minorBidi"/>
                <w:color w:val="auto"/>
                <w:kern w:val="2"/>
                <w:sz w:val="18"/>
                <w:szCs w:val="18"/>
                <w:lang w:val="en-US" w:eastAsia="zh-CN" w:bidi="ar-SA"/>
              </w:rPr>
              <w:t>扬州市天域计量测试有限公司</w:t>
            </w:r>
          </w:p>
        </w:tc>
        <w:tc>
          <w:tcPr>
            <w:tcW w:w="1634"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2022年2月28日</w:t>
            </w:r>
          </w:p>
        </w:tc>
        <w:tc>
          <w:tcPr>
            <w:tcW w:w="952" w:type="dxa"/>
            <w:vAlign w:val="center"/>
          </w:tcPr>
          <w:p>
            <w:pPr>
              <w:jc w:val="center"/>
              <w:rPr>
                <w:rFonts w:asciiTheme="minorHAnsi" w:hAnsiTheme="minorHAnsi" w:eastAsiaTheme="minorEastAsia" w:cstheme="minorBidi"/>
                <w:color w:val="auto"/>
                <w:kern w:val="2"/>
                <w:sz w:val="18"/>
                <w:szCs w:val="18"/>
                <w:lang w:val="en-US" w:eastAsia="zh-CN" w:bidi="ar-SA"/>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auto"/>
                <w:sz w:val="18"/>
                <w:szCs w:val="18"/>
              </w:rPr>
            </w:pPr>
            <w:r>
              <w:rPr>
                <w:rFonts w:hint="eastAsia"/>
                <w:color w:val="auto"/>
                <w:sz w:val="18"/>
                <w:szCs w:val="18"/>
                <w:lang w:val="en-US" w:eastAsia="zh-CN"/>
              </w:rPr>
              <w:t>生产部</w:t>
            </w:r>
          </w:p>
        </w:tc>
        <w:tc>
          <w:tcPr>
            <w:tcW w:w="992"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精密压力表</w:t>
            </w:r>
          </w:p>
        </w:tc>
        <w:tc>
          <w:tcPr>
            <w:tcW w:w="958"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2012.3.182</w:t>
            </w:r>
          </w:p>
        </w:tc>
        <w:tc>
          <w:tcPr>
            <w:tcW w:w="940" w:type="dxa"/>
            <w:vAlign w:val="center"/>
          </w:tcPr>
          <w:p>
            <w:pPr>
              <w:jc w:val="center"/>
              <w:rPr>
                <w:rFonts w:hint="default" w:eastAsiaTheme="minorEastAsia"/>
                <w:color w:val="auto"/>
                <w:sz w:val="18"/>
                <w:szCs w:val="18"/>
                <w:lang w:val="en-US" w:eastAsia="zh-CN"/>
              </w:rPr>
            </w:pPr>
            <w:r>
              <w:rPr>
                <w:rFonts w:hint="eastAsia"/>
                <w:color w:val="auto"/>
                <w:sz w:val="18"/>
                <w:szCs w:val="18"/>
                <w:lang w:eastAsia="zh-CN"/>
              </w:rPr>
              <w:t>（</w:t>
            </w:r>
            <w:r>
              <w:rPr>
                <w:rFonts w:hint="eastAsia"/>
                <w:color w:val="auto"/>
                <w:sz w:val="18"/>
                <w:szCs w:val="18"/>
                <w:lang w:val="en-US" w:eastAsia="zh-CN"/>
              </w:rPr>
              <w:t>0-40</w:t>
            </w:r>
            <w:r>
              <w:rPr>
                <w:rFonts w:hint="eastAsia"/>
                <w:color w:val="auto"/>
                <w:sz w:val="18"/>
                <w:szCs w:val="18"/>
                <w:lang w:eastAsia="zh-CN"/>
              </w:rPr>
              <w:t>）</w:t>
            </w:r>
            <w:r>
              <w:rPr>
                <w:rFonts w:hint="eastAsia"/>
                <w:color w:val="auto"/>
                <w:sz w:val="18"/>
                <w:szCs w:val="18"/>
                <w:lang w:val="en-US" w:eastAsia="zh-CN"/>
              </w:rPr>
              <w:t>MPa</w:t>
            </w:r>
          </w:p>
        </w:tc>
        <w:tc>
          <w:tcPr>
            <w:tcW w:w="1280"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0.4级</w:t>
            </w:r>
          </w:p>
        </w:tc>
        <w:tc>
          <w:tcPr>
            <w:tcW w:w="1840" w:type="dxa"/>
            <w:vAlign w:val="center"/>
          </w:tcPr>
          <w:p>
            <w:pPr>
              <w:ind w:left="360" w:hanging="360" w:hangingChars="200"/>
              <w:jc w:val="both"/>
              <w:rPr>
                <w:rFonts w:hint="eastAsia"/>
                <w:color w:val="auto"/>
                <w:sz w:val="18"/>
                <w:szCs w:val="18"/>
                <w:lang w:val="en-US" w:eastAsia="zh-CN"/>
              </w:rPr>
            </w:pPr>
            <w:r>
              <w:rPr>
                <w:rFonts w:hint="eastAsia"/>
                <w:color w:val="auto"/>
                <w:sz w:val="18"/>
                <w:szCs w:val="18"/>
                <w:lang w:val="en-US" w:eastAsia="zh-CN"/>
              </w:rPr>
              <w:t>标准活塞式压：</w:t>
            </w:r>
          </w:p>
          <w:p>
            <w:pPr>
              <w:ind w:left="360" w:hanging="360" w:hangingChars="200"/>
              <w:jc w:val="both"/>
              <w:rPr>
                <w:rFonts w:hint="default" w:eastAsiaTheme="minorEastAsia"/>
                <w:color w:val="auto"/>
                <w:sz w:val="18"/>
                <w:szCs w:val="18"/>
                <w:lang w:val="en-US" w:eastAsia="zh-CN"/>
              </w:rPr>
            </w:pPr>
            <w:r>
              <w:rPr>
                <w:rFonts w:hint="eastAsia"/>
                <w:color w:val="auto"/>
                <w:sz w:val="18"/>
                <w:szCs w:val="18"/>
                <w:lang w:val="en-US" w:eastAsia="zh-CN"/>
              </w:rPr>
              <w:t>0.05级</w:t>
            </w:r>
          </w:p>
        </w:tc>
        <w:tc>
          <w:tcPr>
            <w:tcW w:w="1360"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新疆维吾尔自治区计量测试研究院</w:t>
            </w:r>
          </w:p>
        </w:tc>
        <w:tc>
          <w:tcPr>
            <w:tcW w:w="1634"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2022年4月13日</w:t>
            </w:r>
          </w:p>
        </w:tc>
        <w:tc>
          <w:tcPr>
            <w:tcW w:w="952"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6" w:type="dxa"/>
            <w:vAlign w:val="center"/>
          </w:tcPr>
          <w:p>
            <w:pPr>
              <w:jc w:val="center"/>
              <w:rPr>
                <w:color w:val="auto"/>
                <w:sz w:val="18"/>
                <w:szCs w:val="18"/>
              </w:rPr>
            </w:pPr>
            <w:r>
              <w:rPr>
                <w:rFonts w:hint="eastAsia"/>
                <w:color w:val="auto"/>
                <w:sz w:val="18"/>
                <w:szCs w:val="18"/>
                <w:lang w:val="en-US" w:eastAsia="zh-CN"/>
              </w:rPr>
              <w:t>生产部</w:t>
            </w:r>
          </w:p>
        </w:tc>
        <w:tc>
          <w:tcPr>
            <w:tcW w:w="992" w:type="dxa"/>
            <w:vAlign w:val="center"/>
          </w:tcPr>
          <w:p>
            <w:pPr>
              <w:jc w:val="both"/>
              <w:rPr>
                <w:rFonts w:hint="default" w:eastAsiaTheme="minorEastAsia"/>
                <w:color w:val="auto"/>
                <w:sz w:val="18"/>
                <w:szCs w:val="18"/>
                <w:lang w:val="en-US" w:eastAsia="zh-CN"/>
              </w:rPr>
            </w:pPr>
            <w:r>
              <w:rPr>
                <w:rFonts w:hint="eastAsia"/>
                <w:color w:val="auto"/>
                <w:sz w:val="18"/>
                <w:szCs w:val="18"/>
                <w:lang w:val="en-US" w:eastAsia="zh-CN"/>
              </w:rPr>
              <w:t>游标卡尺</w:t>
            </w:r>
          </w:p>
        </w:tc>
        <w:tc>
          <w:tcPr>
            <w:tcW w:w="958"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2-11120021</w:t>
            </w:r>
          </w:p>
        </w:tc>
        <w:tc>
          <w:tcPr>
            <w:tcW w:w="940" w:type="dxa"/>
            <w:vAlign w:val="center"/>
          </w:tcPr>
          <w:p>
            <w:pPr>
              <w:jc w:val="center"/>
              <w:rPr>
                <w:color w:val="auto"/>
                <w:sz w:val="18"/>
                <w:szCs w:val="18"/>
              </w:rPr>
            </w:pPr>
            <w:r>
              <w:rPr>
                <w:rFonts w:hint="eastAsia"/>
                <w:color w:val="auto"/>
                <w:sz w:val="18"/>
                <w:szCs w:val="18"/>
                <w:lang w:val="en-US" w:eastAsia="zh-CN"/>
              </w:rPr>
              <w:t>(0~300)mm</w:t>
            </w:r>
          </w:p>
        </w:tc>
        <w:tc>
          <w:tcPr>
            <w:tcW w:w="1280" w:type="dxa"/>
            <w:vAlign w:val="center"/>
          </w:tcPr>
          <w:p>
            <w:pPr>
              <w:ind w:firstLine="180" w:firstLineChars="100"/>
              <w:jc w:val="both"/>
              <w:rPr>
                <w:color w:val="auto"/>
                <w:sz w:val="18"/>
                <w:szCs w:val="18"/>
              </w:rPr>
            </w:pPr>
            <w:r>
              <w:rPr>
                <w:rFonts w:hint="eastAsia"/>
                <w:color w:val="auto"/>
                <w:sz w:val="18"/>
                <w:szCs w:val="18"/>
                <w:lang w:val="en-US" w:eastAsia="zh-CN"/>
              </w:rPr>
              <w:t>±0.04mm</w:t>
            </w:r>
          </w:p>
        </w:tc>
        <w:tc>
          <w:tcPr>
            <w:tcW w:w="1840" w:type="dxa"/>
            <w:vAlign w:val="center"/>
          </w:tcPr>
          <w:p>
            <w:pPr>
              <w:jc w:val="left"/>
              <w:rPr>
                <w:color w:val="auto"/>
                <w:sz w:val="18"/>
                <w:szCs w:val="18"/>
              </w:rPr>
            </w:pPr>
            <w:r>
              <w:rPr>
                <w:rFonts w:hint="eastAsia"/>
                <w:color w:val="auto"/>
                <w:sz w:val="18"/>
                <w:szCs w:val="18"/>
                <w:lang w:val="en-US" w:eastAsia="zh-CN"/>
              </w:rPr>
              <w:t>量块：5等</w:t>
            </w:r>
          </w:p>
        </w:tc>
        <w:tc>
          <w:tcPr>
            <w:tcW w:w="1360" w:type="dxa"/>
            <w:vAlign w:val="center"/>
          </w:tcPr>
          <w:p>
            <w:pPr>
              <w:jc w:val="center"/>
              <w:rPr>
                <w:color w:val="auto"/>
                <w:sz w:val="18"/>
                <w:szCs w:val="18"/>
              </w:rPr>
            </w:pPr>
            <w:r>
              <w:rPr>
                <w:rFonts w:hint="eastAsia"/>
                <w:color w:val="auto"/>
                <w:sz w:val="18"/>
                <w:szCs w:val="18"/>
                <w:lang w:val="en-US" w:eastAsia="zh-CN"/>
              </w:rPr>
              <w:t>新疆维吾尔自治区计量测试研究院</w:t>
            </w:r>
          </w:p>
        </w:tc>
        <w:tc>
          <w:tcPr>
            <w:tcW w:w="1634" w:type="dxa"/>
            <w:vAlign w:val="center"/>
          </w:tcPr>
          <w:p>
            <w:pPr>
              <w:jc w:val="center"/>
              <w:rPr>
                <w:color w:val="auto"/>
                <w:sz w:val="18"/>
                <w:szCs w:val="18"/>
              </w:rPr>
            </w:pPr>
            <w:r>
              <w:rPr>
                <w:rFonts w:hint="eastAsia"/>
                <w:color w:val="auto"/>
                <w:sz w:val="18"/>
                <w:szCs w:val="18"/>
                <w:lang w:val="en-US" w:eastAsia="zh-CN"/>
              </w:rPr>
              <w:t>2021年11月4日</w:t>
            </w:r>
          </w:p>
        </w:tc>
        <w:tc>
          <w:tcPr>
            <w:tcW w:w="952"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1232" w:type="dxa"/>
            <w:gridSpan w:val="9"/>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审核综合意見：</w:t>
            </w:r>
          </w:p>
          <w:p>
            <w:pPr>
              <w:widowControl/>
              <w:ind w:firstLine="420" w:firstLineChars="200"/>
              <w:jc w:val="left"/>
              <w:rPr>
                <w:rFonts w:ascii="Times New Roman" w:hAnsi="Times New Roman" w:eastAsia="宋体" w:cs="Times New Roman"/>
                <w:color w:val="auto"/>
                <w:szCs w:val="21"/>
              </w:rPr>
            </w:pPr>
            <w:r>
              <w:rPr>
                <w:rFonts w:hint="eastAsia" w:ascii="宋体" w:hAnsi="宋体" w:eastAsia="宋体" w:cs="宋体"/>
                <w:color w:val="auto"/>
                <w:kern w:val="0"/>
                <w:szCs w:val="21"/>
              </w:rPr>
              <w:t>公司已制定《计量确认管理程序》、《外部供方管理程溯源管理程序》，公司</w:t>
            </w:r>
            <w:r>
              <w:rPr>
                <w:rFonts w:hint="eastAsia" w:ascii="宋体" w:hAnsi="宋体" w:eastAsia="宋体" w:cs="宋体"/>
                <w:b/>
                <w:bCs/>
                <w:color w:val="auto"/>
                <w:kern w:val="0"/>
                <w:szCs w:val="21"/>
              </w:rPr>
              <w:t>未</w:t>
            </w:r>
            <w:r>
              <w:rPr>
                <w:rFonts w:hint="eastAsia" w:ascii="宋体" w:hAnsi="宋体" w:eastAsia="宋体" w:cs="宋体"/>
                <w:color w:val="auto"/>
                <w:kern w:val="0"/>
                <w:szCs w:val="21"/>
              </w:rPr>
              <w:t>建最高计量标准，测量设备由</w:t>
            </w:r>
            <w:r>
              <w:rPr>
                <w:rFonts w:hint="eastAsia" w:ascii="宋体" w:hAnsi="宋体" w:eastAsia="宋体" w:cs="宋体"/>
                <w:color w:val="auto"/>
                <w:kern w:val="0"/>
                <w:szCs w:val="21"/>
                <w:lang w:val="en-US" w:eastAsia="zh-CN"/>
              </w:rPr>
              <w:t>质量技术</w:t>
            </w:r>
            <w:r>
              <w:rPr>
                <w:rFonts w:hint="eastAsia" w:ascii="宋体" w:hAnsi="宋体" w:eastAsia="宋体" w:cs="宋体"/>
                <w:color w:val="auto"/>
                <w:kern w:val="0"/>
                <w:szCs w:val="21"/>
                <w:highlight w:val="none"/>
                <w:lang w:val="en-US" w:eastAsia="zh-CN"/>
              </w:rPr>
              <w:t>部</w:t>
            </w:r>
            <w:r>
              <w:rPr>
                <w:rFonts w:hint="eastAsia" w:ascii="宋体" w:hAnsi="宋体" w:eastAsia="宋体" w:cs="宋体"/>
                <w:color w:val="auto"/>
                <w:kern w:val="0"/>
                <w:szCs w:val="21"/>
              </w:rPr>
              <w:t>负责溯源。公司测量设备全部委托</w:t>
            </w:r>
            <w:r>
              <w:rPr>
                <w:rFonts w:hint="eastAsia" w:ascii="宋体" w:hAnsi="宋体" w:eastAsia="宋体" w:cs="宋体"/>
                <w:color w:val="auto"/>
                <w:kern w:val="0"/>
                <w:szCs w:val="21"/>
                <w:lang w:val="en-US" w:eastAsia="zh-CN"/>
              </w:rPr>
              <w:t>新疆维吾尔自治区计量测试研究院及扬州市天域计量测试有限公司等</w:t>
            </w:r>
            <w:r>
              <w:rPr>
                <w:rFonts w:hint="eastAsia" w:ascii="宋体" w:hAnsi="宋体" w:eastAsia="宋体" w:cs="宋体"/>
                <w:color w:val="auto"/>
                <w:kern w:val="0"/>
                <w:szCs w:val="21"/>
              </w:rPr>
              <w:t>，《测量设备</w:t>
            </w:r>
            <w:r>
              <w:rPr>
                <w:rFonts w:hint="eastAsia" w:cstheme="minorBidi"/>
                <w:color w:val="auto"/>
                <w:kern w:val="2"/>
                <w:sz w:val="18"/>
                <w:szCs w:val="18"/>
                <w:lang w:val="en-US" w:eastAsia="zh-CN" w:bidi="ar-SA"/>
              </w:rPr>
              <w:t>公司</w:t>
            </w:r>
            <w:r>
              <w:rPr>
                <w:rFonts w:hint="eastAsia" w:ascii="宋体" w:hAnsi="宋体" w:eastAsia="宋体" w:cs="宋体"/>
                <w:color w:val="auto"/>
                <w:kern w:val="0"/>
                <w:szCs w:val="21"/>
              </w:rPr>
              <w:t>检定/校准，校准</w:t>
            </w:r>
            <w:r>
              <w:rPr>
                <w:rFonts w:ascii="Calibri" w:hAnsi="Calibri" w:eastAsia="宋体" w:cs="Calibri"/>
                <w:color w:val="auto"/>
                <w:kern w:val="0"/>
                <w:szCs w:val="21"/>
              </w:rPr>
              <w:t>/</w:t>
            </w:r>
            <w:r>
              <w:rPr>
                <w:rFonts w:hint="eastAsia" w:ascii="宋体" w:hAnsi="宋体" w:eastAsia="宋体" w:cs="宋体"/>
                <w:color w:val="auto"/>
                <w:kern w:val="0"/>
                <w:szCs w:val="21"/>
              </w:rPr>
              <w:t>检定证书由</w:t>
            </w:r>
            <w:r>
              <w:rPr>
                <w:rFonts w:hint="eastAsia" w:ascii="宋体" w:hAnsi="宋体" w:eastAsia="宋体" w:cs="宋体"/>
                <w:color w:val="auto"/>
                <w:kern w:val="0"/>
                <w:szCs w:val="21"/>
                <w:lang w:val="en-US" w:eastAsia="zh-CN"/>
              </w:rPr>
              <w:t>质量技术部</w:t>
            </w:r>
            <w:r>
              <w:rPr>
                <w:rFonts w:hint="eastAsia" w:ascii="宋体" w:hAnsi="宋体" w:eastAsia="宋体" w:cs="宋体"/>
                <w:color w:val="auto"/>
                <w:kern w:val="0"/>
                <w:szCs w:val="21"/>
              </w:rPr>
              <w:t>保存。根据抽查</w:t>
            </w:r>
            <w:r>
              <w:rPr>
                <w:rFonts w:hint="eastAsia" w:ascii="宋体" w:hAnsi="宋体" w:eastAsia="宋体" w:cs="宋体"/>
                <w:color w:val="auto"/>
                <w:kern w:val="0"/>
                <w:szCs w:val="21"/>
                <w:lang w:val="en-US" w:eastAsia="zh-CN"/>
              </w:rPr>
              <w:t>6台</w:t>
            </w:r>
            <w:r>
              <w:rPr>
                <w:rFonts w:hint="eastAsia" w:ascii="宋体" w:hAnsi="宋体" w:eastAsia="宋体" w:cs="宋体"/>
                <w:color w:val="auto"/>
                <w:kern w:val="0"/>
                <w:szCs w:val="21"/>
              </w:rPr>
              <w:t>情况，该公司的校准情况符合溯源性要求。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232" w:type="dxa"/>
            <w:gridSpan w:val="9"/>
          </w:tcPr>
          <w:p>
            <w:pPr>
              <w:spacing w:line="360" w:lineRule="auto"/>
              <w:rPr>
                <w:rFonts w:hint="eastAsia"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31</w:t>
            </w:r>
            <w:r>
              <w:rPr>
                <w:rFonts w:hint="eastAsia" w:ascii="Times New Roman" w:hAnsi="Times New Roman" w:eastAsia="宋体" w:cs="Times New Roman"/>
                <w:szCs w:val="21"/>
              </w:rPr>
              <w:t xml:space="preserve"> 日</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 xml:space="preserve"> 日 </w:t>
            </w:r>
          </w:p>
          <w:p>
            <w:pPr>
              <w:spacing w:line="360" w:lineRule="auto"/>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w:t>
            </w:r>
            <w:r>
              <w:rPr>
                <w:rFonts w:hint="eastAsia"/>
              </w:rPr>
              <w:drawing>
                <wp:inline distT="0" distB="0" distL="114300" distR="114300">
                  <wp:extent cx="526415" cy="222885"/>
                  <wp:effectExtent l="0" t="0" r="6985" b="5715"/>
                  <wp:docPr id="3"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1698fea543c1f5e2dd097ae1750c2b"/>
                          <pic:cNvPicPr>
                            <a:picLocks noChangeAspect="1"/>
                          </pic:cNvPicPr>
                        </pic:nvPicPr>
                        <pic:blipFill>
                          <a:blip r:embed="rId6"/>
                          <a:stretch>
                            <a:fillRect/>
                          </a:stretch>
                        </pic:blipFill>
                        <pic:spPr>
                          <a:xfrm>
                            <a:off x="0" y="0"/>
                            <a:ext cx="526415" cy="222885"/>
                          </a:xfrm>
                          <a:prstGeom prst="rect">
                            <a:avLst/>
                          </a:prstGeom>
                          <a:noFill/>
                          <a:ln>
                            <a:noFill/>
                          </a:ln>
                        </pic:spPr>
                      </pic:pic>
                    </a:graphicData>
                  </a:graphic>
                </wp:inline>
              </w:drawing>
            </w:r>
            <w:r>
              <w:rPr>
                <w:rFonts w:hint="eastAsia" w:ascii="Times New Roman" w:hAnsi="Times New Roman" w:eastAsia="宋体" w:cs="Times New Roman"/>
                <w:szCs w:val="21"/>
              </w:rPr>
              <w:t xml:space="preserve">                              部门代表签字：</w:t>
            </w:r>
            <w:r>
              <w:rPr>
                <w:rFonts w:ascii="Times New Roman" w:hAnsi="Times New Roman" w:eastAsia="宋体" w:cs="Times New Roman"/>
                <w:color w:val="0000FF"/>
                <w:szCs w:val="21"/>
              </w:rPr>
              <w:t xml:space="preserve"> </w:t>
            </w:r>
            <w:r>
              <w:rPr>
                <w:rFonts w:ascii="宋体" w:hAnsi="宋体" w:cs="宋体"/>
                <w:kern w:val="0"/>
                <w:szCs w:val="21"/>
              </w:rPr>
              <w:drawing>
                <wp:inline distT="0" distB="0" distL="114300" distR="114300">
                  <wp:extent cx="709295" cy="341630"/>
                  <wp:effectExtent l="0" t="0" r="1905" b="1270"/>
                  <wp:docPr id="4" name="图片 4" descr="5a61380d709be0021ba7b1f782e1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61380d709be0021ba7b1f782e19ef"/>
                          <pic:cNvPicPr>
                            <a:picLocks noChangeAspect="1"/>
                          </pic:cNvPicPr>
                        </pic:nvPicPr>
                        <pic:blipFill>
                          <a:blip r:embed="rId7"/>
                          <a:stretch>
                            <a:fillRect/>
                          </a:stretch>
                        </pic:blipFill>
                        <pic:spPr>
                          <a:xfrm>
                            <a:off x="0" y="0"/>
                            <a:ext cx="709295" cy="341630"/>
                          </a:xfrm>
                          <a:prstGeom prst="rect">
                            <a:avLst/>
                          </a:prstGeom>
                        </pic:spPr>
                      </pic:pic>
                    </a:graphicData>
                  </a:graphic>
                </wp:inline>
              </w:drawing>
            </w:r>
            <w:bookmarkStart w:id="2" w:name="_GoBack"/>
            <w:bookmarkEnd w:id="2"/>
          </w:p>
        </w:tc>
      </w:tr>
    </w:tbl>
    <w:p/>
    <w:p>
      <w:r>
        <w:rPr>
          <w:rFonts w:hint="eastAsia"/>
        </w:rPr>
        <w:t>说明：“计量特性”可以填写测量设备的最大允差、准确度等级或校准结果的测量不确定度。</w:t>
      </w:r>
    </w:p>
    <w:sectPr>
      <w:headerReference r:id="rId3" w:type="default"/>
      <w:footerReference r:id="rId4" w:type="default"/>
      <w:pgSz w:w="11906" w:h="16838"/>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168"/>
      </w:tabs>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309.75pt;margin-top:6pt;height:20.6pt;width:215.8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4098" o:spt="32" type="#_x0000_t32" style="position:absolute;left:0pt;margin-left:-0.45pt;margin-top:3pt;height:0pt;width:526.05pt;z-index:251660288;mso-width-relative:page;mso-height-relative:page;" filled="f" coordsize="21600,21600" adj="-1460,-1,-146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1FB7352C"/>
    <w:rsid w:val="3B4C4F9A"/>
    <w:rsid w:val="6F34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505</Words>
  <Characters>645</Characters>
  <Lines>3</Lines>
  <Paragraphs>1</Paragraphs>
  <TotalTime>0</TotalTime>
  <ScaleCrop>false</ScaleCrop>
  <LinksUpToDate>false</LinksUpToDate>
  <CharactersWithSpaces>689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yingjie</cp:lastModifiedBy>
  <dcterms:modified xsi:type="dcterms:W3CDTF">2022-10-31T11:05:05Z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C2534108A1FA4B8691905F330C846237</vt:lpwstr>
  </property>
</Properties>
</file>