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1147-2022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84"/>
        <w:gridCol w:w="676"/>
        <w:gridCol w:w="835"/>
        <w:gridCol w:w="129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油泵吸入段高度测量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125±0.1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0.2㎜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9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 w:cs="宋体"/>
              </w:rPr>
              <w:t>游标卡尺</w:t>
            </w:r>
          </w:p>
        </w:tc>
        <w:tc>
          <w:tcPr>
            <w:tcW w:w="1451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30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）㎜</w:t>
            </w:r>
          </w:p>
        </w:tc>
        <w:tc>
          <w:tcPr>
            <w:tcW w:w="1511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TG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1《</w:t>
            </w:r>
            <w:r>
              <w:rPr>
                <w:rFonts w:hint="eastAsia"/>
              </w:rPr>
              <w:t>油泵吸入段高度测量过程</w:t>
            </w:r>
            <w:r>
              <w:rPr>
                <w:rFonts w:hint="eastAsia"/>
                <w:lang w:val="en-US" w:eastAsia="zh-CN"/>
              </w:rPr>
              <w:t>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TG/HT-200</w:t>
            </w: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/>
              </w:rPr>
              <w:t>油泵吸入段</w:t>
            </w:r>
            <w:r>
              <w:rPr>
                <w:rFonts w:hint="eastAsia"/>
                <w:lang w:val="en-US" w:eastAsia="zh-CN"/>
              </w:rPr>
              <w:t>作业指导书</w:t>
            </w:r>
            <w:r>
              <w:rPr>
                <w:rFonts w:hint="eastAsia" w:ascii="宋体" w:hAnsi="宋体"/>
                <w:color w:val="000000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潘建东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油泵吸入段高度测量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油泵吸入段高度测量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油泵吸入段高度测量</w:t>
            </w:r>
            <w:r>
              <w:rPr>
                <w:rFonts w:hint="eastAsia" w:ascii="Times New Roman" w:hAnsi="Times New Roman"/>
              </w:rPr>
              <w:t>过程监视统计记录》附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见《油泵吸入段高度测量过程监视统计质控图》附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34035" cy="318770"/>
            <wp:effectExtent l="0" t="0" r="14605" b="1270"/>
            <wp:docPr id="59" name="图片 59" descr="15b881b02f7f310266f2ad300fd7b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5b881b02f7f310266f2ad300fd7bb8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9431" t="43160" r="41108" b="31677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74644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395</Words>
  <Characters>410</Characters>
  <Lines>4</Lines>
  <Paragraphs>1</Paragraphs>
  <TotalTime>0</TotalTime>
  <ScaleCrop>false</ScaleCrop>
  <LinksUpToDate>false</LinksUpToDate>
  <CharactersWithSpaces>461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2022-10-29T13:14:32Z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9D3881D9D5224ADE92987064458D35F9</vt:lpwstr>
  </property>
</Properties>
</file>