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tbl>
      <w:tblPr>
        <w:tblStyle w:val="11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1"/>
        <w:gridCol w:w="1221"/>
        <w:gridCol w:w="9927"/>
        <w:gridCol w:w="15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160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过程与活动、</w:t>
            </w:r>
          </w:p>
          <w:p>
            <w:pPr>
              <w:jc w:val="center"/>
            </w:pPr>
            <w:r>
              <w:rPr>
                <w:rFonts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涉及</w:t>
            </w:r>
          </w:p>
          <w:p>
            <w:r>
              <w:rPr>
                <w:rFonts w:hint="eastAsia"/>
                <w:sz w:val="24"/>
                <w:szCs w:val="24"/>
              </w:rPr>
              <w:t>条款</w:t>
            </w:r>
          </w:p>
        </w:tc>
        <w:tc>
          <w:tcPr>
            <w:tcW w:w="10004" w:type="dxa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受审核部门：</w:t>
            </w:r>
            <w:r>
              <w:rPr>
                <w:rFonts w:hint="eastAsia" w:ascii="宋体" w:hAnsi="宋体" w:cs="Arial"/>
                <w:szCs w:val="21"/>
                <w:lang w:val="en-US" w:eastAsia="zh-CN"/>
              </w:rPr>
              <w:t>运营部</w:t>
            </w:r>
            <w:r>
              <w:rPr>
                <w:rFonts w:hint="eastAsia" w:ascii="宋体" w:hAnsi="宋体"/>
                <w:b/>
                <w:bCs/>
                <w:szCs w:val="21"/>
              </w:rPr>
              <w:t xml:space="preserve"> </w:t>
            </w:r>
            <w:r>
              <w:rPr>
                <w:rFonts w:ascii="宋体" w:hAnsi="宋体"/>
                <w:b/>
                <w:bCs/>
                <w:szCs w:val="21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主管领导：</w:t>
            </w:r>
            <w:r>
              <w:rPr>
                <w:rFonts w:hint="eastAsia" w:ascii="宋体" w:hAnsi="宋体" w:cs="Arial"/>
                <w:szCs w:val="21"/>
                <w:lang w:val="en-US" w:eastAsia="zh-CN"/>
              </w:rPr>
              <w:t>田泽良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陪同人员：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王益枫</w:t>
            </w:r>
          </w:p>
        </w:tc>
        <w:tc>
          <w:tcPr>
            <w:tcW w:w="1585" w:type="dxa"/>
            <w:vMerge w:val="restart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spacing w:before="120"/>
            </w:pPr>
            <w:r>
              <w:rPr>
                <w:rFonts w:hint="eastAsia"/>
                <w:sz w:val="24"/>
                <w:szCs w:val="24"/>
              </w:rPr>
              <w:t>审核员：</w:t>
            </w:r>
            <w:r>
              <w:rPr>
                <w:rFonts w:hint="eastAsia"/>
                <w:sz w:val="24"/>
                <w:szCs w:val="24"/>
                <w:lang w:val="de-DE"/>
              </w:rPr>
              <w:t>张磊</w:t>
            </w:r>
            <w:r>
              <w:rPr>
                <w:rFonts w:hint="eastAsia"/>
                <w:sz w:val="24"/>
                <w:szCs w:val="24"/>
                <w:lang w:val="de-DE" w:eastAsia="zh-CN"/>
              </w:rPr>
              <w:t>、徐城立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、应红艳 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审核时间：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2022.11.4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160" w:type="dxa"/>
            <w:vMerge w:val="continue"/>
            <w:vAlign w:val="center"/>
          </w:tcPr>
          <w:p/>
        </w:tc>
        <w:tc>
          <w:tcPr>
            <w:tcW w:w="960" w:type="dxa"/>
            <w:vMerge w:val="continue"/>
            <w:vAlign w:val="center"/>
          </w:tcPr>
          <w:p/>
        </w:tc>
        <w:tc>
          <w:tcPr>
            <w:tcW w:w="10004" w:type="dxa"/>
            <w:vAlign w:val="center"/>
          </w:tcPr>
          <w:p>
            <w:pPr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审核条款：</w:t>
            </w:r>
          </w:p>
          <w:p>
            <w:pPr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de-DE"/>
              </w:rPr>
              <w:t>QMS-2015</w:t>
            </w:r>
          </w:p>
          <w:p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5.3岗位/职责 /权限；6.2质量目标及其实现的策划；7.1.3基础设施；  7.1.4过程运行环境；8.1运行策划和控制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；8.3产品和服务的设计和开发；</w:t>
            </w:r>
            <w:r>
              <w:rPr>
                <w:rFonts w:hint="eastAsia"/>
                <w:sz w:val="20"/>
                <w:szCs w:val="20"/>
              </w:rPr>
              <w:t>8.4外部提供供方的控制；8.5.1生产和服务提供的控制；8.5.2标识和可追溯性；8.5.4防护</w:t>
            </w:r>
            <w:r>
              <w:rPr>
                <w:rFonts w:hint="eastAsia"/>
                <w:sz w:val="20"/>
                <w:szCs w:val="20"/>
                <w:lang w:eastAsia="zh-CN"/>
              </w:rPr>
              <w:t>；</w:t>
            </w:r>
            <w:r>
              <w:rPr>
                <w:rFonts w:hint="eastAsia"/>
                <w:sz w:val="20"/>
                <w:szCs w:val="20"/>
              </w:rPr>
              <w:t>8.5.6更改控制； 9.1 监视、测量、分析和评价绩效</w:t>
            </w:r>
            <w:r>
              <w:rPr>
                <w:rFonts w:hint="eastAsia"/>
                <w:sz w:val="20"/>
                <w:szCs w:val="20"/>
                <w:lang w:eastAsia="zh-CN"/>
              </w:rPr>
              <w:t>；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9.1.3分析与评价</w:t>
            </w:r>
          </w:p>
          <w:p>
            <w:pPr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  <w:lang w:val="de-DE"/>
              </w:rPr>
              <w:t xml:space="preserve">EMS-2015 </w:t>
            </w:r>
          </w:p>
          <w:p>
            <w:pPr>
              <w:rPr>
                <w:rFonts w:hint="eastAsia"/>
                <w:sz w:val="20"/>
                <w:szCs w:val="20"/>
                <w:lang w:val="en-US" w:eastAsia="zh-CN"/>
              </w:rPr>
            </w:pPr>
            <w:r>
              <w:rPr>
                <w:rFonts w:hint="eastAsia"/>
                <w:sz w:val="20"/>
                <w:szCs w:val="20"/>
              </w:rPr>
              <w:t>5.3组织的角色、职责和权限、6.1.2环境因素；6.2目标及其达成的策划；8.1运行策划和控制；8.2应急准备和响应</w:t>
            </w:r>
            <w:r>
              <w:rPr>
                <w:rFonts w:hint="eastAsia"/>
                <w:sz w:val="20"/>
                <w:szCs w:val="20"/>
                <w:lang w:eastAsia="zh-CN"/>
              </w:rPr>
              <w:t>；9.1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.1</w:t>
            </w:r>
            <w:r>
              <w:rPr>
                <w:rFonts w:hint="eastAsia"/>
                <w:sz w:val="20"/>
                <w:szCs w:val="20"/>
                <w:lang w:eastAsia="zh-CN"/>
              </w:rPr>
              <w:t xml:space="preserve"> 监视、测量、分析和评价绩效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总则</w:t>
            </w:r>
          </w:p>
          <w:p>
            <w:pPr>
              <w:rPr>
                <w:rFonts w:hint="eastAsia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  <w:lang w:val="de-DE"/>
              </w:rPr>
              <w:t>ISO 45001：2018</w:t>
            </w:r>
          </w:p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0"/>
                <w:szCs w:val="20"/>
              </w:rPr>
              <w:t>5.3组织的角色、职责和权限；6.1.2危险源辨识和职业安全风险评价；6.2目标及其实现的策划；8.1运行策划和控制；8.2应急准备和响应</w:t>
            </w:r>
            <w:r>
              <w:rPr>
                <w:rFonts w:hint="eastAsia"/>
                <w:sz w:val="20"/>
                <w:szCs w:val="20"/>
                <w:lang w:eastAsia="zh-CN"/>
              </w:rPr>
              <w:t>；9.1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.1</w:t>
            </w:r>
            <w:r>
              <w:rPr>
                <w:rFonts w:hint="eastAsia"/>
                <w:sz w:val="20"/>
                <w:szCs w:val="20"/>
                <w:lang w:eastAsia="zh-CN"/>
              </w:rPr>
              <w:t xml:space="preserve"> 监视、测量、分析和评价绩效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 xml:space="preserve"> 总则</w:t>
            </w:r>
            <w:r>
              <w:rPr>
                <w:rFonts w:hint="eastAsia"/>
                <w:sz w:val="20"/>
                <w:szCs w:val="20"/>
              </w:rPr>
              <w:t>；</w:t>
            </w:r>
          </w:p>
        </w:tc>
        <w:tc>
          <w:tcPr>
            <w:tcW w:w="1585" w:type="dxa"/>
            <w:vMerge w:val="continue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5" w:hRule="atLeast"/>
        </w:trPr>
        <w:tc>
          <w:tcPr>
            <w:tcW w:w="2160" w:type="dxa"/>
          </w:tcPr>
          <w:p>
            <w:r>
              <w:rPr>
                <w:rFonts w:hint="eastAsia" w:ascii="宋体" w:hAnsi="宋体" w:cs="Arial"/>
                <w:szCs w:val="21"/>
              </w:rPr>
              <w:t>组织的岗位、职责和权限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QMS:5.3</w:t>
            </w:r>
          </w:p>
          <w:p>
            <w:r>
              <w:rPr>
                <w:rFonts w:ascii="宋体" w:hAnsi="宋体" w:cs="Arial"/>
                <w:szCs w:val="21"/>
              </w:rPr>
              <w:t>EO:5.3</w:t>
            </w:r>
            <w:r>
              <w:t xml:space="preserve"> 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本部门主要负责采购、供应商管理及相关环境、职业健康安全管理活动的实施与执行.</w:t>
            </w:r>
          </w:p>
          <w:p>
            <w:pPr>
              <w:spacing w:line="280" w:lineRule="exact"/>
              <w:ind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与运营部负责人沟通，描述的职责和权限与一体化管理体系的职能分配表基本一致。</w:t>
            </w:r>
          </w:p>
          <w:p>
            <w:pPr>
              <w:spacing w:line="280" w:lineRule="exact"/>
              <w:ind w:firstLine="42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有办公桌、电脑、空调等能满足部门体系运行需求。</w:t>
            </w:r>
          </w:p>
          <w:p>
            <w:pPr>
              <w:spacing w:line="280" w:lineRule="exact"/>
              <w:ind w:firstLine="420"/>
              <w:rPr>
                <w:b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采购后物资堆放场所等基本符合要求。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</w:tcPr>
          <w:p>
            <w:r>
              <w:rPr>
                <w:rFonts w:hint="eastAsia" w:ascii="宋体" w:hAnsi="宋体" w:cs="Arial"/>
                <w:szCs w:val="21"/>
              </w:rPr>
              <w:t>质量环境和职业健康安全目标</w:t>
            </w:r>
          </w:p>
        </w:tc>
        <w:tc>
          <w:tcPr>
            <w:tcW w:w="960" w:type="dxa"/>
          </w:tcPr>
          <w:p>
            <w:r>
              <w:rPr>
                <w:rFonts w:hint="eastAsia" w:ascii="宋体" w:hAnsi="宋体" w:cs="Arial"/>
                <w:szCs w:val="21"/>
              </w:rPr>
              <w:t>QMS:</w:t>
            </w:r>
            <w:r>
              <w:rPr>
                <w:rFonts w:hint="eastAsia"/>
              </w:rPr>
              <w:t>6</w:t>
            </w:r>
            <w:r>
              <w:t>.2</w:t>
            </w:r>
          </w:p>
          <w:p>
            <w:r>
              <w:rPr>
                <w:rFonts w:ascii="宋体" w:hAnsi="宋体" w:cs="Arial"/>
                <w:szCs w:val="21"/>
              </w:rPr>
              <w:t>EO:6.2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 xml:space="preserve">管理目标有：                            </w:t>
            </w:r>
          </w:p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101"/>
              <w:gridCol w:w="3118"/>
              <w:gridCol w:w="851"/>
              <w:gridCol w:w="2551"/>
              <w:gridCol w:w="851"/>
              <w:gridCol w:w="99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责任部门</w:t>
                  </w:r>
                </w:p>
              </w:tc>
              <w:tc>
                <w:tcPr>
                  <w:tcW w:w="3118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目标项目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目标值</w:t>
                  </w:r>
                </w:p>
              </w:tc>
              <w:tc>
                <w:tcPr>
                  <w:tcW w:w="25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数据来源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实现值</w:t>
                  </w:r>
                </w:p>
              </w:tc>
              <w:tc>
                <w:tcPr>
                  <w:tcW w:w="996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判定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1" w:type="dxa"/>
                  <w:vMerge w:val="restart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  <w:lang w:val="en-US" w:eastAsia="zh-CN"/>
                    </w:rPr>
                    <w:t>运营部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目标</w:t>
                  </w:r>
                </w:p>
              </w:tc>
              <w:tc>
                <w:tcPr>
                  <w:tcW w:w="3118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  <w:lang w:eastAsia="zh-CN"/>
                    </w:rPr>
                    <w:t>可再生资源回收服务</w:t>
                  </w: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按规执行率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100％</w:t>
                  </w:r>
                </w:p>
              </w:tc>
              <w:tc>
                <w:tcPr>
                  <w:tcW w:w="25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服务规范执行检查情况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Times New Roman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996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1" w:type="dxa"/>
                  <w:vMerge w:val="continue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/>
                      <w:sz w:val="18"/>
                      <w:szCs w:val="18"/>
                    </w:rPr>
                    <w:t>业主投诉有效处理率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25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投诉处理回访信息统计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Times New Roman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996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1" w:type="dxa"/>
                  <w:vMerge w:val="continue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垃圾分类</w:t>
                  </w:r>
                  <w:r>
                    <w:rPr>
                      <w:rFonts w:hint="eastAsia" w:ascii="宋体" w:hAnsi="宋体" w:cs="宋体"/>
                      <w:sz w:val="18"/>
                      <w:szCs w:val="18"/>
                      <w:lang w:eastAsia="zh-CN"/>
                    </w:rPr>
                    <w:t>服务</w:t>
                  </w:r>
                  <w:r>
                    <w:rPr>
                      <w:rFonts w:ascii="宋体" w:hAnsi="宋体" w:cs="宋体"/>
                      <w:sz w:val="18"/>
                      <w:szCs w:val="18"/>
                    </w:rPr>
                    <w:t>检查合格率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ascii="宋体" w:hAnsi="宋体" w:cs="宋体"/>
                      <w:sz w:val="18"/>
                      <w:szCs w:val="18"/>
                    </w:rPr>
                    <w:t>≥9</w:t>
                  </w:r>
                  <w:r>
                    <w:rPr>
                      <w:rFonts w:hint="eastAsia" w:ascii="宋体" w:hAnsi="宋体" w:cs="宋体"/>
                      <w:sz w:val="18"/>
                      <w:szCs w:val="18"/>
                      <w:lang w:val="en-US" w:eastAsia="zh-CN"/>
                    </w:rPr>
                    <w:t>0</w:t>
                  </w:r>
                  <w:r>
                    <w:rPr>
                      <w:rFonts w:ascii="宋体" w:hAnsi="宋体" w:cs="宋体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25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检查结果统计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Times New Roman"/>
                      <w:sz w:val="18"/>
                      <w:szCs w:val="18"/>
                      <w:lang w:val="en-US" w:eastAsia="zh-CN"/>
                    </w:rPr>
                    <w:t>99</w:t>
                  </w:r>
                  <w:r>
                    <w:rPr>
                      <w:rFonts w:hint="eastAsia" w:ascii="宋体" w:hAnsi="宋体" w:eastAsia="宋体" w:cs="Times New Roman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996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1" w:type="dxa"/>
                  <w:vMerge w:val="continue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设施、设备完好率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≥95％</w:t>
                  </w:r>
                </w:p>
              </w:tc>
              <w:tc>
                <w:tcPr>
                  <w:tcW w:w="25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设备完好情况统计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Times New Roman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996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1" w:type="dxa"/>
                  <w:vMerge w:val="continue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业主满意度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≥90%</w:t>
                  </w:r>
                </w:p>
              </w:tc>
              <w:tc>
                <w:tcPr>
                  <w:tcW w:w="25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业主满意度调查数据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 w:eastAsia="宋体" w:cs="Times New Roman"/>
                      <w:sz w:val="18"/>
                      <w:szCs w:val="18"/>
                    </w:rPr>
                    <w:t>9</w:t>
                  </w:r>
                  <w:r>
                    <w:rPr>
                      <w:rFonts w:hint="eastAsia" w:ascii="宋体" w:hAnsi="宋体" w:eastAsia="宋体" w:cs="Times New Roman"/>
                      <w:sz w:val="18"/>
                      <w:szCs w:val="18"/>
                      <w:lang w:val="en-US" w:eastAsia="zh-CN"/>
                    </w:rPr>
                    <w:t>6.7</w:t>
                  </w:r>
                  <w:r>
                    <w:rPr>
                      <w:rFonts w:hint="eastAsia" w:ascii="宋体" w:hAnsi="宋体" w:eastAsia="宋体" w:cs="Times New Roman"/>
                      <w:sz w:val="18"/>
                      <w:szCs w:val="18"/>
                    </w:rPr>
                    <w:t>%</w:t>
                  </w:r>
                </w:p>
              </w:tc>
              <w:tc>
                <w:tcPr>
                  <w:tcW w:w="996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1" w:type="dxa"/>
                  <w:vMerge w:val="continue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kern w:val="2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合格供方评价按时完成率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kern w:val="2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100％</w:t>
                  </w:r>
                </w:p>
              </w:tc>
              <w:tc>
                <w:tcPr>
                  <w:tcW w:w="25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kern w:val="2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评价情况分析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kern w:val="2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996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kern w:val="2"/>
                      <w:sz w:val="18"/>
                      <w:szCs w:val="18"/>
                      <w:lang w:val="en-US" w:eastAsia="zh-CN" w:bidi="ar-SA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1" w:type="dxa"/>
                  <w:vMerge w:val="continue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固体废弃物按规分类存放、处置率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25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检查数据统计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100%</w:t>
                  </w:r>
                </w:p>
              </w:tc>
              <w:tc>
                <w:tcPr>
                  <w:tcW w:w="996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1" w:type="dxa"/>
                  <w:vMerge w:val="continue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水、电消耗总量比上年节约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1%</w:t>
                  </w:r>
                </w:p>
              </w:tc>
              <w:tc>
                <w:tcPr>
                  <w:tcW w:w="25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无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无</w:t>
                  </w:r>
                </w:p>
              </w:tc>
              <w:tc>
                <w:tcPr>
                  <w:tcW w:w="996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未考核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1" w:type="dxa"/>
                  <w:vMerge w:val="continue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触电、交通、火灾事件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零发生</w:t>
                  </w:r>
                </w:p>
              </w:tc>
              <w:tc>
                <w:tcPr>
                  <w:tcW w:w="25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实际事件发生情况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96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1" w:type="dxa"/>
                  <w:vMerge w:val="continue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轻伤事件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≤2‰</w:t>
                  </w:r>
                </w:p>
              </w:tc>
              <w:tc>
                <w:tcPr>
                  <w:tcW w:w="25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实际事件发生情况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996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101" w:type="dxa"/>
                  <w:vMerge w:val="continue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</w:p>
              </w:tc>
              <w:tc>
                <w:tcPr>
                  <w:tcW w:w="3118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环境、职业健康安全运行检查合格率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≥95%</w:t>
                  </w:r>
                </w:p>
              </w:tc>
              <w:tc>
                <w:tcPr>
                  <w:tcW w:w="25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检查数据分析</w:t>
                  </w:r>
                </w:p>
              </w:tc>
              <w:tc>
                <w:tcPr>
                  <w:tcW w:w="851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98%</w:t>
                  </w:r>
                </w:p>
              </w:tc>
              <w:tc>
                <w:tcPr>
                  <w:tcW w:w="996" w:type="dxa"/>
                  <w:noWrap w:val="0"/>
                  <w:vAlign w:val="top"/>
                </w:tcPr>
                <w:p>
                  <w:pPr>
                    <w:tabs>
                      <w:tab w:val="left" w:pos="855"/>
                    </w:tabs>
                    <w:snapToGrid w:val="0"/>
                    <w:jc w:val="center"/>
                    <w:rPr>
                      <w:rFonts w:hint="eastAsia" w:ascii="宋体" w:hAnsi="宋体"/>
                      <w:sz w:val="18"/>
                      <w:szCs w:val="18"/>
                    </w:rPr>
                  </w:pPr>
                  <w:r>
                    <w:rPr>
                      <w:rFonts w:hint="eastAsia" w:ascii="宋体" w:hAnsi="宋体"/>
                      <w:sz w:val="18"/>
                      <w:szCs w:val="18"/>
                    </w:rPr>
                    <w:t>符合</w:t>
                  </w:r>
                </w:p>
              </w:tc>
            </w:tr>
          </w:tbl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目标可测量，与公司方针一致。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管理目标完成情况：查到20</w:t>
            </w:r>
            <w:r>
              <w:rPr>
                <w:color w:val="000000"/>
                <w:szCs w:val="21"/>
              </w:rPr>
              <w:t>2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2</w:t>
            </w:r>
            <w:r>
              <w:rPr>
                <w:rFonts w:hint="eastAsia"/>
                <w:color w:val="000000"/>
                <w:szCs w:val="21"/>
              </w:rPr>
              <w:t>年1月-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10</w:t>
            </w:r>
            <w:r>
              <w:rPr>
                <w:rFonts w:hint="eastAsia"/>
                <w:color w:val="000000"/>
                <w:szCs w:val="21"/>
              </w:rPr>
              <w:t>月部门管理目标考核情况，以上管理目标已全部完成，考核：</w:t>
            </w:r>
            <w:r>
              <w:rPr>
                <w:rFonts w:hint="eastAsia"/>
              </w:rPr>
              <w:t>王益枫</w:t>
            </w:r>
            <w:r>
              <w:rPr>
                <w:rFonts w:hint="eastAsia"/>
                <w:color w:val="000000"/>
                <w:szCs w:val="21"/>
              </w:rPr>
              <w:t xml:space="preserve"> 审批：</w:t>
            </w:r>
            <w:r>
              <w:rPr>
                <w:rFonts w:hint="eastAsia"/>
                <w:color w:val="000000"/>
                <w:szCs w:val="21"/>
                <w:lang w:eastAsia="zh-CN"/>
              </w:rPr>
              <w:t>魏志标</w:t>
            </w:r>
            <w:r>
              <w:rPr>
                <w:rFonts w:hint="eastAsia"/>
                <w:color w:val="000000"/>
                <w:szCs w:val="21"/>
              </w:rPr>
              <w:t>。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针对以上环境、职业健康安全目标和重要环境因素和重大危险源公司制定了相应的《管理方案》，内容涉及主要措施、责任部门、经费、时间要求、实施情况等。如落实固体废弃物管理责任制，按可回收、不可回收和危废分类处理；划分可回收、不可回收和危废的临时存放区域落实；消防工作责任制，每月对消防设施进行检查，发现不合格消防设施及时更新，对员工防火意识教育，严禁在禁止吸烟处吸烟等……</w:t>
            </w:r>
          </w:p>
          <w:p>
            <w:pPr>
              <w:spacing w:line="280" w:lineRule="exact"/>
              <w:ind w:firstLine="420" w:firstLineChars="200"/>
              <w:rPr>
                <w:color w:val="000000"/>
                <w:szCs w:val="21"/>
              </w:rPr>
            </w:pPr>
            <w:r>
              <w:rPr>
                <w:rFonts w:hint="eastAsia"/>
                <w:szCs w:val="21"/>
              </w:rPr>
              <w:t>抽查《QEO目标/指标/管理方案完成情况检查表》，均合格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8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基础设施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7.1.3 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0" w:firstLineChars="20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提供《设施一览表》一份，主要设备有：</w:t>
            </w:r>
            <w:r>
              <w:rPr>
                <w:rFonts w:hint="eastAsia" w:ascii="宋体" w:hAnsi="宋体" w:cs="宋体"/>
                <w:color w:val="000000"/>
                <w:szCs w:val="21"/>
                <w:lang w:val="en-US" w:eastAsia="zh-CN"/>
              </w:rPr>
              <w:t>垃圾清运车、洒水车、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电脑、业务操作系统（回收商城APP管理系统、垃圾分类智能回收商城软件、智能硬件管理系统）、智能型称重设备、打印机、空调、投影仪等，登记了设施编号、设施名称、数量、设施状态等。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核实：电脑，使用地点</w:t>
            </w:r>
            <w:r>
              <w:rPr>
                <w:rFonts w:hint="eastAsia" w:ascii="宋体" w:hAnsi="宋体" w:cs="宋体"/>
                <w:color w:val="000000"/>
                <w:szCs w:val="21"/>
                <w:lang w:eastAsia="zh-CN"/>
              </w:rPr>
              <w:t>运营部</w:t>
            </w:r>
            <w:r>
              <w:rPr>
                <w:rFonts w:hint="eastAsia" w:ascii="宋体" w:hAnsi="宋体" w:cs="宋体"/>
                <w:color w:val="000000"/>
                <w:szCs w:val="21"/>
              </w:rPr>
              <w:t>，设备状态完好。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公司办公通讯设备实施日常清洁，由员工在每天工作前进行，现场核实该设备，完好。电脑软件等，必要时升级。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对办公通讯设备进行定期维护和保养工作基本正常，对于工作中发现的设备故障，能及时维修，设备暂无故障维修。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查目前设备状态良好。</w:t>
            </w:r>
          </w:p>
          <w:p>
            <w:pPr>
              <w:spacing w:line="280" w:lineRule="exact"/>
              <w:ind w:firstLine="420" w:firstLineChars="200"/>
              <w:rPr>
                <w:b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无特种设备。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过程运行环境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7.1.4 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80"/>
              <w:rPr>
                <w:rFonts w:hint="eastAsia"/>
              </w:rPr>
            </w:pPr>
            <w:r>
              <w:rPr>
                <w:rFonts w:hint="eastAsia"/>
              </w:rPr>
              <w:t>公司办公场地环境干净整洁、通风良好，办公通讯设施完善，能得到良好的维护，环境适宜，适宜于产品的销售过程控制要求。工作现场对于环境主要应注意消防安全、办公场地的干净整洁，要求作业人员注意设备、防火和电器安全等。</w:t>
            </w:r>
          </w:p>
          <w:p>
            <w:pPr>
              <w:pStyle w:val="10"/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员工配有相关的劳动防护用品（工作服、手套、口罩等），并且佩戴合理。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运行策划和控制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QMS:8.1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 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对于管理体系覆盖范围内常规服务，公司已在管理体系运行之初进行了销售和服务实现的策划，形成的各类文件《与顾客有关过程管理程序》、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《杭州市城市市容和环卫管理条例》、《杭州市垃圾分类收集设施设置导则》、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DB33/T 1166-2019《城镇生活垃圾分类标准》</w:t>
            </w:r>
            <w:r>
              <w:rPr>
                <w:rFonts w:hint="eastAsia" w:ascii="宋体" w:hAnsi="宋体" w:cs="宋体"/>
                <w:szCs w:val="21"/>
              </w:rPr>
              <w:t>等能确保正常的服务实现，同时也为品质部的作业依据。</w:t>
            </w:r>
          </w:p>
          <w:p>
            <w:pPr>
              <w:pStyle w:val="3"/>
              <w:jc w:val="left"/>
              <w:rPr>
                <w:rFonts w:hint="eastAsia" w:ascii="Times New Roman" w:hAnsi="Times New Roman" w:eastAsia="宋体" w:cs="Times New Roman"/>
                <w:b/>
                <w:bCs/>
                <w:spacing w:val="10"/>
                <w:kern w:val="2"/>
                <w:sz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10"/>
                <w:kern w:val="2"/>
                <w:sz w:val="20"/>
                <w:lang w:val="en-US" w:eastAsia="zh-CN" w:bidi="ar-SA"/>
              </w:rPr>
              <w:t>城市生活垃圾分类管理流程</w:t>
            </w:r>
          </w:p>
          <w:p>
            <w:pPr>
              <w:pStyle w:val="3"/>
              <w:jc w:val="both"/>
              <w:rPr>
                <w:rFonts w:hint="default" w:ascii="Times New Roman" w:hAnsi="Times New Roman" w:eastAsia="宋体" w:cs="Times New Roman"/>
                <w:b/>
                <w:bCs/>
                <w:spacing w:val="10"/>
                <w:kern w:val="2"/>
                <w:sz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spacing w:val="10"/>
                <w:kern w:val="2"/>
                <w:sz w:val="20"/>
                <w:lang w:val="en-US" w:eastAsia="zh-CN" w:bidi="ar-SA"/>
              </w:rPr>
              <w:t>签订社区服务合同→制定社区垃圾分类管理服务方案→投放垃圾分类箱→宣传垃圾分类知识→定投督导服务。</w:t>
            </w:r>
          </w:p>
          <w:p>
            <w:pPr>
              <w:pStyle w:val="2"/>
            </w:pPr>
            <w:r>
              <w:rPr>
                <w:rFonts w:hint="eastAsia"/>
                <w:b/>
                <w:sz w:val="20"/>
                <w:lang w:val="en-US" w:eastAsia="zh-CN"/>
              </w:rPr>
              <w:t>保洁服务：</w:t>
            </w:r>
            <w:r>
              <w:rPr>
                <w:rFonts w:hint="eastAsia"/>
                <w:b/>
                <w:sz w:val="20"/>
              </w:rPr>
              <w:t>了解管理区域内的保洁服务→制定保洁方案→配置保洁工具、安排保洁人员→保洁服务排班→制定保洁服务验收方案→定期检验保洁品质</w:t>
            </w:r>
          </w:p>
          <w:p>
            <w:pPr>
              <w:tabs>
                <w:tab w:val="left" w:pos="6002"/>
              </w:tabs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</w:p>
          <w:p>
            <w:pPr>
              <w:spacing w:line="28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关键过程：</w:t>
            </w:r>
            <w:r>
              <w:rPr>
                <w:rFonts w:hint="eastAsia"/>
                <w:lang w:val="en-US" w:eastAsia="zh-CN"/>
              </w:rPr>
              <w:t>定投督导服务、保洁服务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编制《垃圾分类服务管理手册》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卫生保洁协议》、《保洁方案》</w:t>
            </w:r>
            <w:r>
              <w:rPr>
                <w:rFonts w:hint="eastAsia" w:ascii="宋体" w:hAnsi="宋体" w:cs="宋体"/>
                <w:szCs w:val="21"/>
              </w:rPr>
              <w:t>指导</w:t>
            </w:r>
            <w:r>
              <w:rPr>
                <w:rFonts w:hint="eastAsia"/>
                <w:lang w:val="en-US" w:eastAsia="zh-CN"/>
              </w:rPr>
              <w:t>社区垃圾分类管理</w:t>
            </w:r>
            <w:r>
              <w:rPr>
                <w:rFonts w:hint="eastAsia" w:ascii="宋体" w:hAnsi="宋体" w:cs="宋体"/>
                <w:szCs w:val="21"/>
              </w:rPr>
              <w:t>服务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和保洁服务</w:t>
            </w:r>
            <w:r>
              <w:rPr>
                <w:rFonts w:hint="eastAsia" w:ascii="宋体" w:hAnsi="宋体" w:cs="宋体"/>
                <w:szCs w:val="21"/>
              </w:rPr>
              <w:t>按规定进行。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/>
                <w:lang w:val="en-US" w:eastAsia="zh-CN"/>
              </w:rPr>
              <w:t>社区垃圾分类管理</w:t>
            </w:r>
            <w:r>
              <w:rPr>
                <w:rFonts w:hint="eastAsia" w:ascii="宋体" w:hAnsi="宋体" w:cs="宋体"/>
                <w:szCs w:val="21"/>
              </w:rPr>
              <w:t>服务过程中使用的设备：电话、电脑、管理系统、网络、复印机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分类垃圾桶</w:t>
            </w:r>
            <w:r>
              <w:rPr>
                <w:rFonts w:hint="eastAsia" w:ascii="宋体" w:hAnsi="宋体" w:cs="宋体"/>
                <w:szCs w:val="21"/>
              </w:rPr>
              <w:t>等，以上设备配置适宜，能确保服务的实现。</w:t>
            </w:r>
          </w:p>
          <w:p>
            <w:pPr>
              <w:pStyle w:val="2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 xml:space="preserve">   保洁服务除垃圾分类使用得工具外，还用到：吸粪车、洒水车、路面扫地车等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服务</w:t>
            </w:r>
            <w:r>
              <w:rPr>
                <w:rFonts w:hint="eastAsia" w:ascii="宋体" w:hAnsi="宋体" w:cs="宋体"/>
                <w:szCs w:val="21"/>
              </w:rPr>
              <w:t>过程依据合同约定，确定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服务</w:t>
            </w:r>
            <w:r>
              <w:rPr>
                <w:rFonts w:hint="eastAsia" w:ascii="宋体" w:hAnsi="宋体" w:cs="宋体"/>
                <w:szCs w:val="21"/>
              </w:rPr>
              <w:t>地点、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服务要求内容、</w:t>
            </w:r>
            <w:r>
              <w:rPr>
                <w:rFonts w:hint="eastAsia" w:ascii="宋体" w:hAnsi="宋体" w:cs="宋体"/>
                <w:szCs w:val="21"/>
              </w:rPr>
              <w:t>时间等信息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制定保洁、</w:t>
            </w:r>
            <w:r>
              <w:rPr>
                <w:rFonts w:hint="eastAsia"/>
                <w:lang w:val="en-US" w:eastAsia="zh-CN"/>
              </w:rPr>
              <w:t>社区垃圾分类管理服务方案</w:t>
            </w:r>
            <w:r>
              <w:rPr>
                <w:rFonts w:hint="eastAsia" w:ascii="宋体" w:hAnsi="宋体" w:cs="宋体"/>
                <w:szCs w:val="21"/>
              </w:rPr>
              <w:t>；运营部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安排工作人员</w:t>
            </w:r>
            <w:r>
              <w:rPr>
                <w:rFonts w:hint="eastAsia" w:ascii="宋体" w:hAnsi="宋体" w:cs="宋体"/>
                <w:szCs w:val="21"/>
              </w:rPr>
              <w:t>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每日定点投放垃圾桶、定时回收垃圾桶，对垃圾桶内垃圾进行简单分装</w:t>
            </w:r>
            <w:r>
              <w:rPr>
                <w:rFonts w:hint="eastAsia" w:ascii="宋体" w:hAnsi="宋体" w:cs="宋体"/>
                <w:szCs w:val="21"/>
              </w:rPr>
              <w:t>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不定时对社区群众进行垃圾分类的知识宣传讲解，定期进行</w:t>
            </w:r>
            <w:r>
              <w:rPr>
                <w:rFonts w:hint="eastAsia"/>
                <w:lang w:val="en-US" w:eastAsia="zh-CN"/>
              </w:rPr>
              <w:t>督导检查，核实垃圾分类处理的完成程度，</w:t>
            </w:r>
            <w:r>
              <w:rPr>
                <w:rFonts w:hint="eastAsia" w:ascii="宋体" w:hAnsi="宋体" w:cs="宋体"/>
                <w:szCs w:val="21"/>
              </w:rPr>
              <w:t>流程结束。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主要监测设备有：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《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垃圾分类第三方服务单位月度考核细则》、《保洁考核办法》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  <w:p>
            <w:pPr>
              <w:spacing w:line="280" w:lineRule="exact"/>
              <w:ind w:firstLine="420" w:firstLineChars="200"/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参照标准：《杭州市城市市容和环卫管理条例》、《杭州市垃圾分类收集设施设置导则》、</w:t>
            </w: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DB33/T 1166-2019《城镇生活垃圾分类标准》</w:t>
            </w:r>
            <w:r>
              <w:rPr>
                <w:rFonts w:hint="eastAsia" w:ascii="宋体" w:hAnsi="宋体" w:cs="宋体"/>
                <w:b w:val="0"/>
                <w:bCs w:val="0"/>
                <w:kern w:val="2"/>
                <w:sz w:val="21"/>
                <w:szCs w:val="21"/>
                <w:lang w:val="en-US" w:eastAsia="zh-CN" w:bidi="ar-SA"/>
              </w:rPr>
              <w:t>和合同要求等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以上服务实现的策划工作基本符合要求，能确保</w:t>
            </w:r>
            <w:r>
              <w:rPr>
                <w:rFonts w:hint="eastAsia"/>
                <w:lang w:val="en-US" w:eastAsia="zh-CN"/>
              </w:rPr>
              <w:t>社区垃圾分类管理</w:t>
            </w:r>
            <w:r>
              <w:rPr>
                <w:rFonts w:hint="eastAsia" w:ascii="宋体" w:hAnsi="宋体" w:cs="宋体"/>
                <w:szCs w:val="21"/>
              </w:rPr>
              <w:t>服务实现和质量目标的实现。</w:t>
            </w:r>
          </w:p>
          <w:p>
            <w:pPr>
              <w:spacing w:line="280" w:lineRule="exact"/>
              <w:ind w:firstLine="420" w:firstLineChars="200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目前无其他特定销售服务和合同的策划。</w:t>
            </w:r>
          </w:p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垃圾的清运由保洁公司或政府单位进行负责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外部提供的过程、产品和服务的性质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总则</w:t>
            </w: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Q</w:t>
            </w:r>
            <w:r>
              <w:rPr>
                <w:rFonts w:hint="eastAsia" w:ascii="宋体" w:hAnsi="宋体" w:eastAsia="宋体" w:cs="宋体"/>
                <w:szCs w:val="21"/>
              </w:rPr>
              <w:t>8.4.1</w:t>
            </w:r>
          </w:p>
        </w:tc>
        <w:tc>
          <w:tcPr>
            <w:tcW w:w="10004" w:type="dxa"/>
            <w:vAlign w:val="top"/>
          </w:tcPr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编制《采购控制程序》，规定了对选择评价和重新评审供方的方法。通过调查供方的质量保证能力如：具有营业登记、产品质量、质量保证能力、价格、交货、服务等方面进行评价。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主要采购物资有：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人脸识别称</w:t>
            </w:r>
            <w:r>
              <w:rPr>
                <w:rFonts w:hint="eastAsia" w:ascii="宋体" w:hAnsi="宋体" w:eastAsia="宋体" w:cs="宋体"/>
                <w:szCs w:val="21"/>
              </w:rPr>
              <w:t>、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垃圾分类智能称</w:t>
            </w:r>
            <w:r>
              <w:rPr>
                <w:rFonts w:hint="eastAsia" w:ascii="宋体" w:hAnsi="宋体" w:eastAsia="宋体" w:cs="宋体"/>
                <w:szCs w:val="21"/>
              </w:rPr>
              <w:t>、</w:t>
            </w:r>
            <w:r>
              <w:rPr>
                <w:rFonts w:hint="eastAsia"/>
                <w:spacing w:val="0"/>
                <w:szCs w:val="22"/>
                <w:lang w:val="en-US" w:eastAsia="zh-CN"/>
              </w:rPr>
              <w:t>塑料筐</w:t>
            </w:r>
            <w:r>
              <w:rPr>
                <w:rFonts w:hint="eastAsia" w:ascii="宋体" w:hAnsi="宋体" w:eastAsia="宋体" w:cs="宋体"/>
                <w:szCs w:val="21"/>
              </w:rPr>
              <w:t>、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办公用品、</w:t>
            </w:r>
            <w:r>
              <w:rPr>
                <w:rFonts w:hint="eastAsia"/>
                <w:spacing w:val="0"/>
                <w:szCs w:val="22"/>
                <w:lang w:val="en-US" w:eastAsia="zh-CN"/>
              </w:rPr>
              <w:t>灭火器、劳保用品</w:t>
            </w:r>
            <w:r>
              <w:rPr>
                <w:rFonts w:hint="eastAsia" w:ascii="宋体" w:hAnsi="宋体" w:eastAsia="宋体" w:cs="宋体"/>
                <w:szCs w:val="21"/>
              </w:rPr>
              <w:t>等。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识别的外包过程：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无</w:t>
            </w:r>
            <w:r>
              <w:rPr>
                <w:rFonts w:hint="eastAsia" w:ascii="宋体" w:hAnsi="宋体" w:eastAsia="宋体" w:cs="宋体"/>
                <w:szCs w:val="21"/>
              </w:rPr>
              <w:t>。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查《合格供方名录》，共显示合格供应商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再生资源回收网点（新塘街道朱家坛村环境卫生保洁采购项目、城厢社区）</w:t>
            </w:r>
            <w:r>
              <w:rPr>
                <w:rFonts w:hint="eastAsia" w:ascii="宋体" w:hAnsi="宋体" w:eastAsia="宋体" w:cs="宋体"/>
                <w:szCs w:val="21"/>
              </w:rPr>
              <w:t>、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鑫芯（杭州）智能科技有限公司</w:t>
            </w:r>
            <w:r>
              <w:rPr>
                <w:rFonts w:hint="eastAsia" w:ascii="宋体" w:hAnsi="宋体" w:eastAsia="宋体" w:cs="宋体"/>
                <w:szCs w:val="21"/>
              </w:rPr>
              <w:t>、</w:t>
            </w:r>
            <w:r>
              <w:rPr>
                <w:rFonts w:hint="eastAsia"/>
                <w:spacing w:val="0"/>
                <w:szCs w:val="22"/>
                <w:lang w:val="en-US" w:eastAsia="zh-CN"/>
              </w:rPr>
              <w:t>杭州萧山商业城阿丽百货批发部</w:t>
            </w:r>
            <w:r>
              <w:rPr>
                <w:rFonts w:hint="eastAsia" w:ascii="宋体" w:hAnsi="宋体" w:eastAsia="宋体" w:cs="宋体"/>
                <w:szCs w:val="21"/>
              </w:rPr>
              <w:t>、</w:t>
            </w:r>
            <w:r>
              <w:rPr>
                <w:rFonts w:hint="eastAsia"/>
                <w:spacing w:val="0"/>
                <w:szCs w:val="22"/>
                <w:lang w:val="en-US" w:eastAsia="zh-CN"/>
              </w:rPr>
              <w:t>诸暨市金锐电脑经营部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、</w:t>
            </w:r>
            <w:r>
              <w:rPr>
                <w:rFonts w:hint="eastAsia"/>
                <w:spacing w:val="0"/>
                <w:szCs w:val="22"/>
                <w:lang w:val="en-US" w:eastAsia="zh-CN"/>
              </w:rPr>
              <w:t>杭州萧山新塘芬利百货商行</w:t>
            </w:r>
            <w:r>
              <w:rPr>
                <w:rFonts w:hint="eastAsia" w:ascii="宋体" w:hAnsi="宋体" w:eastAsia="宋体" w:cs="宋体"/>
                <w:szCs w:val="21"/>
              </w:rPr>
              <w:t>等供应商，内容包括：序号、供方名称、提供产品、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联系方式</w:t>
            </w:r>
            <w:r>
              <w:rPr>
                <w:rFonts w:hint="eastAsia" w:ascii="宋体" w:hAnsi="宋体" w:eastAsia="宋体" w:cs="宋体"/>
                <w:szCs w:val="21"/>
              </w:rPr>
              <w:t>等。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——抽查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再生资源回收网点</w:t>
            </w:r>
            <w:r>
              <w:rPr>
                <w:rFonts w:hint="eastAsia" w:ascii="宋体" w:hAnsi="宋体" w:eastAsia="宋体" w:cs="宋体"/>
                <w:szCs w:val="21"/>
              </w:rPr>
              <w:t>《供方调查评价表》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default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提供产品：</w:t>
            </w:r>
            <w:r>
              <w:rPr>
                <w:rFonts w:hint="eastAsia"/>
                <w:spacing w:val="0"/>
                <w:szCs w:val="22"/>
                <w:lang w:val="en-US" w:eastAsia="zh-CN"/>
              </w:rPr>
              <w:t>再生资源回收站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评价内容：业绩、质量保证能力、资源状况（人、技、设备、资金）、产品价格及服务等。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评价结论：该公司产品价格合理，质量可靠，供货及时，同意列为合格供方，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魏志标</w:t>
            </w:r>
            <w:r>
              <w:rPr>
                <w:rFonts w:hint="eastAsia" w:ascii="宋体" w:hAnsi="宋体" w:eastAsia="宋体" w:cs="宋体"/>
                <w:szCs w:val="21"/>
              </w:rPr>
              <w:t>。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——抽查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鑫芯（杭州）智能科技有限公司</w:t>
            </w:r>
            <w:r>
              <w:rPr>
                <w:rFonts w:hint="eastAsia" w:ascii="宋体" w:hAnsi="宋体" w:eastAsia="宋体" w:cs="宋体"/>
                <w:szCs w:val="21"/>
              </w:rPr>
              <w:t>《供方调查评价表》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default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提供产品：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人脸识别称</w:t>
            </w:r>
            <w:r>
              <w:rPr>
                <w:rFonts w:hint="eastAsia" w:ascii="宋体" w:hAnsi="宋体" w:eastAsia="宋体" w:cs="宋体"/>
                <w:szCs w:val="21"/>
              </w:rPr>
              <w:t>、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垃圾分类智能称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评价内容：业绩、质量保证能力、资源状况（人、技、设备、资金）、产品价格及服务等。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评价结论：该公司产品价格合理，质量可靠，供货及时，同意列为合格供方，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魏志标</w:t>
            </w:r>
            <w:r>
              <w:rPr>
                <w:rFonts w:hint="eastAsia" w:ascii="宋体" w:hAnsi="宋体" w:eastAsia="宋体" w:cs="宋体"/>
                <w:szCs w:val="21"/>
              </w:rPr>
              <w:t>。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——抽查</w:t>
            </w:r>
            <w:r>
              <w:rPr>
                <w:rFonts w:hint="eastAsia"/>
                <w:spacing w:val="0"/>
                <w:szCs w:val="22"/>
                <w:lang w:val="en-US" w:eastAsia="zh-CN"/>
              </w:rPr>
              <w:t>杭州萧山新塘芬利百货商行</w:t>
            </w:r>
            <w:r>
              <w:rPr>
                <w:rFonts w:hint="eastAsia" w:ascii="宋体" w:hAnsi="宋体" w:eastAsia="宋体" w:cs="宋体"/>
                <w:szCs w:val="21"/>
              </w:rPr>
              <w:t>《供方调查评价表》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default" w:ascii="宋体" w:hAnsi="宋体" w:eastAsia="宋体" w:cs="宋体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提供产品：</w:t>
            </w:r>
            <w:r>
              <w:rPr>
                <w:rFonts w:hint="eastAsia"/>
                <w:spacing w:val="0"/>
                <w:szCs w:val="22"/>
                <w:lang w:val="en-US" w:eastAsia="zh-CN"/>
              </w:rPr>
              <w:t>灭火器、劳保用品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评价内容：业绩、质量保证能力、资源状况（人、技、设备、资金）、产品价格及服务等。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评价结论：该公司产品价格合理，质量可靠，供货及时，同意列为合格供方，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魏志标</w:t>
            </w:r>
            <w:r>
              <w:rPr>
                <w:rFonts w:hint="eastAsia" w:ascii="宋体" w:hAnsi="宋体" w:eastAsia="宋体" w:cs="宋体"/>
                <w:szCs w:val="21"/>
              </w:rPr>
              <w:t>。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公司对供应商的管理和控制按照策划的要求开展。</w:t>
            </w:r>
          </w:p>
        </w:tc>
        <w:tc>
          <w:tcPr>
            <w:tcW w:w="1585" w:type="dxa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采购过程及控制类型和程度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Q</w:t>
            </w:r>
            <w:r>
              <w:rPr>
                <w:rFonts w:hint="eastAsia" w:ascii="宋体" w:hAnsi="宋体" w:eastAsia="宋体" w:cs="宋体"/>
                <w:szCs w:val="21"/>
              </w:rPr>
              <w:t>8.4.2</w:t>
            </w:r>
          </w:p>
        </w:tc>
        <w:tc>
          <w:tcPr>
            <w:tcW w:w="10004" w:type="dxa"/>
            <w:vAlign w:val="top"/>
          </w:tcPr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编制了《采购控制程序》文件。按文件要求对外部供方及其提供的产品或过程进行控制。通过调查供方的质量保证能力如：具有营业登记、产品质量、质量保证能力、价格、交货、服务、质量管理体系等方面进行评价。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采购产品的进货检验。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查看采购产品及入库单，均为从合格供方处采购。</w:t>
            </w:r>
          </w:p>
        </w:tc>
        <w:tc>
          <w:tcPr>
            <w:tcW w:w="1585" w:type="dxa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提供给外部供方的信息</w:t>
            </w: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Q</w:t>
            </w:r>
            <w:r>
              <w:rPr>
                <w:rFonts w:hint="eastAsia" w:ascii="宋体" w:hAnsi="宋体" w:eastAsia="宋体" w:cs="宋体"/>
                <w:szCs w:val="21"/>
              </w:rPr>
              <w:t>8.4.3</w:t>
            </w:r>
          </w:p>
        </w:tc>
        <w:tc>
          <w:tcPr>
            <w:tcW w:w="10004" w:type="dxa"/>
            <w:vAlign w:val="top"/>
          </w:tcPr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运营部</w:t>
            </w:r>
            <w:r>
              <w:rPr>
                <w:rFonts w:hint="eastAsia" w:ascii="宋体" w:hAnsi="宋体" w:eastAsia="宋体" w:cs="宋体"/>
                <w:szCs w:val="21"/>
              </w:rPr>
              <w:t>根据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生产计划</w:t>
            </w:r>
            <w:r>
              <w:rPr>
                <w:rFonts w:hint="eastAsia" w:ascii="宋体" w:hAnsi="宋体" w:eastAsia="宋体" w:cs="宋体"/>
                <w:szCs w:val="21"/>
              </w:rPr>
              <w:t>，确定需要实施采购的任务，由部门主管进行签核。公司已建立、保持与合格供方信息反馈渠道，及时沟通、保持协调，有良好的互惠关系；采购信息充分、可靠，采购产品的要求明确、适宜（包括品名、规格、数量、交付期、价格等）；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查看202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szCs w:val="21"/>
              </w:rPr>
              <w:t>.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9</w:t>
            </w:r>
            <w:r>
              <w:rPr>
                <w:rFonts w:hint="eastAsia" w:ascii="宋体" w:hAnsi="宋体" w:eastAsia="宋体" w:cs="宋体"/>
                <w:szCs w:val="21"/>
              </w:rPr>
              <w:t>的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人脸识别称</w:t>
            </w:r>
            <w:r>
              <w:rPr>
                <w:rFonts w:hint="eastAsia" w:ascii="宋体" w:hAnsi="宋体" w:eastAsia="宋体" w:cs="宋体"/>
                <w:szCs w:val="21"/>
              </w:rPr>
              <w:t>采购合同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、202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的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智能垃圾分类四桶收集设备采购</w:t>
            </w:r>
            <w:r>
              <w:rPr>
                <w:rFonts w:hint="eastAsia" w:ascii="宋体" w:hAnsi="宋体" w:eastAsia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合同均规定了品牌、规格型号、尺寸等技术要求，数量，单价及供货周期、验收的技术要求等信息</w:t>
            </w:r>
            <w:r>
              <w:rPr>
                <w:rFonts w:hint="eastAsia" w:ascii="宋体" w:hAnsi="宋体" w:eastAsia="宋体" w:cs="宋体"/>
                <w:szCs w:val="21"/>
              </w:rPr>
              <w:t>。</w:t>
            </w:r>
          </w:p>
          <w:p>
            <w:pPr>
              <w:spacing w:line="280" w:lineRule="exact"/>
              <w:ind w:firstLine="420" w:firstLineChars="200"/>
              <w:jc w:val="lef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 xml:space="preserve">从供方评价记录中看出对于已有的合格供方提供的产品，均满意。 </w:t>
            </w:r>
          </w:p>
        </w:tc>
        <w:tc>
          <w:tcPr>
            <w:tcW w:w="1585" w:type="dxa"/>
          </w:tcPr>
          <w:p>
            <w:pPr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生产和服务提供的控制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8.5.1 </w:t>
            </w:r>
          </w:p>
          <w:p>
            <w:pPr>
              <w:rPr>
                <w:rFonts w:ascii="宋体" w:hAnsi="宋体" w:cs="Arial"/>
                <w:szCs w:val="21"/>
              </w:rPr>
            </w:pPr>
          </w:p>
        </w:tc>
        <w:tc>
          <w:tcPr>
            <w:tcW w:w="10004" w:type="dxa"/>
          </w:tcPr>
          <w:p>
            <w:pPr>
              <w:spacing w:line="280" w:lineRule="exact"/>
              <w:ind w:firstLine="420" w:firstLineChars="200"/>
            </w:pPr>
            <w:r>
              <w:rPr>
                <w:rFonts w:hint="eastAsia"/>
              </w:rPr>
              <w:t>对于管理体系覆盖范围内常规销售服务，公司已在管理体系运行之初进行了销售和服务实现的策划，形成的各类文件《与顾客有关过程管理程序》、</w:t>
            </w:r>
            <w:r>
              <w:rPr>
                <w:rFonts w:hint="eastAsia"/>
                <w:lang w:val="en-US" w:eastAsia="zh-CN"/>
              </w:rPr>
              <w:t>《杭州市城市市容和环卫管理条例》、《杭州市垃圾分类收集设施设置导则》、DB33/T 1166-2019《城镇生活垃圾分类标准》</w:t>
            </w:r>
            <w:r>
              <w:rPr>
                <w:rFonts w:hint="eastAsia"/>
              </w:rPr>
              <w:t>等能确保正常的服务实现，同时也为品质部的作业依据。</w:t>
            </w:r>
          </w:p>
          <w:p>
            <w:pPr>
              <w:pStyle w:val="3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城市生活垃圾分类管理流程</w:t>
            </w:r>
          </w:p>
          <w:p>
            <w:pPr>
              <w:pStyle w:val="3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签订社区服务合同→制定社区垃圾分类管理服务方案→投放垃圾分类箱→宣传垃圾分类知识→定投督导服务。</w:t>
            </w:r>
          </w:p>
          <w:p>
            <w:pPr>
              <w:pStyle w:val="2"/>
              <w:rPr>
                <w:rFonts w:hint="eastAsia" w:ascii="Times New Roman" w:hAnsi="Times New Roman" w:eastAsia="PMingLiU" w:cs="Times New Roman"/>
                <w:b/>
                <w:bCs/>
                <w:spacing w:val="0"/>
                <w:kern w:val="2"/>
                <w:sz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PMingLiU" w:cs="Times New Roman"/>
                <w:b/>
                <w:bCs/>
                <w:spacing w:val="0"/>
                <w:kern w:val="2"/>
                <w:sz w:val="24"/>
                <w:lang w:val="en-US" w:eastAsia="zh-CN" w:bidi="ar-SA"/>
              </w:rPr>
              <w:t>保洁服务：了解管理区域内的保洁服务→制定保洁方案→配置保洁工具、安排保洁人员→保洁服务排班→制定保洁服务验收方案→定期检验保洁品质</w:t>
            </w:r>
          </w:p>
          <w:p>
            <w:pPr>
              <w:tabs>
                <w:tab w:val="left" w:pos="6002"/>
              </w:tabs>
              <w:spacing w:line="280" w:lineRule="exact"/>
              <w:ind w:firstLine="480" w:firstLineChars="200"/>
              <w:rPr>
                <w:rFonts w:hint="eastAsia" w:ascii="Times New Roman" w:hAnsi="Times New Roman" w:eastAsia="PMingLiU" w:cs="Times New Roman"/>
                <w:b/>
                <w:bCs/>
                <w:spacing w:val="0"/>
                <w:kern w:val="2"/>
                <w:sz w:val="24"/>
                <w:lang w:val="en-US" w:eastAsia="zh-CN" w:bidi="ar-SA"/>
              </w:rPr>
            </w:pPr>
          </w:p>
          <w:p>
            <w:pPr>
              <w:spacing w:line="280" w:lineRule="exact"/>
              <w:ind w:firstLine="480" w:firstLineChars="200"/>
              <w:rPr>
                <w:rFonts w:hint="default" w:ascii="Times New Roman" w:hAnsi="Times New Roman" w:eastAsia="PMingLiU" w:cs="Times New Roman"/>
                <w:b/>
                <w:bCs/>
                <w:spacing w:val="0"/>
                <w:kern w:val="2"/>
                <w:sz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PMingLiU" w:cs="Times New Roman"/>
                <w:b/>
                <w:bCs/>
                <w:spacing w:val="0"/>
                <w:kern w:val="2"/>
                <w:sz w:val="24"/>
                <w:lang w:val="en-US" w:eastAsia="zh-CN" w:bidi="ar-SA"/>
              </w:rPr>
              <w:t>关键过程：定投督导服务、保洁服务</w:t>
            </w:r>
          </w:p>
          <w:p>
            <w:pPr>
              <w:spacing w:line="280" w:lineRule="exact"/>
              <w:ind w:firstLine="420" w:firstLineChars="200"/>
            </w:pPr>
            <w:r>
              <w:rPr>
                <w:rFonts w:hint="eastAsia"/>
              </w:rPr>
              <w:t>编制《垃圾分类服务管理手册》</w:t>
            </w: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/>
                <w:lang w:val="en-US" w:eastAsia="zh-CN"/>
              </w:rPr>
              <w:t>卫生保洁协议》、《保洁方案》</w:t>
            </w:r>
            <w:r>
              <w:rPr>
                <w:rFonts w:hint="eastAsia"/>
              </w:rPr>
              <w:t>指导</w:t>
            </w:r>
            <w:r>
              <w:rPr>
                <w:rFonts w:hint="eastAsia"/>
                <w:lang w:val="en-US" w:eastAsia="zh-CN"/>
              </w:rPr>
              <w:t>社区垃圾分类管理</w:t>
            </w:r>
            <w:r>
              <w:rPr>
                <w:rFonts w:hint="eastAsia"/>
              </w:rPr>
              <w:t>服务</w:t>
            </w:r>
            <w:r>
              <w:rPr>
                <w:rFonts w:hint="eastAsia"/>
                <w:lang w:val="en-US" w:eastAsia="zh-CN"/>
              </w:rPr>
              <w:t>和保洁服务</w:t>
            </w:r>
            <w:r>
              <w:rPr>
                <w:rFonts w:hint="eastAsia"/>
              </w:rPr>
              <w:t>按规定进行。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社区垃圾分类管理</w:t>
            </w:r>
            <w:r>
              <w:rPr>
                <w:rFonts w:hint="eastAsia"/>
              </w:rPr>
              <w:t>服务过程中使用的设备：电话、电脑、管理系统、网络、复印机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分类垃圾桶</w:t>
            </w:r>
            <w:r>
              <w:rPr>
                <w:rFonts w:hint="eastAsia"/>
              </w:rPr>
              <w:t>等，以上设备配置适宜，能确保服务的实现。</w:t>
            </w:r>
          </w:p>
          <w:p>
            <w:pPr>
              <w:pStyle w:val="2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保洁服务除垃圾分类使用得工具外，还用到：吸粪车、洒水车、路面扫地车等</w:t>
            </w:r>
          </w:p>
          <w:p>
            <w:pPr>
              <w:spacing w:line="280" w:lineRule="exact"/>
              <w:ind w:firstLine="420" w:firstLineChars="200"/>
            </w:pPr>
            <w:r>
              <w:rPr>
                <w:rFonts w:hint="eastAsia"/>
                <w:lang w:val="en-US" w:eastAsia="zh-CN"/>
              </w:rPr>
              <w:t>服务</w:t>
            </w:r>
            <w:r>
              <w:rPr>
                <w:rFonts w:hint="eastAsia"/>
              </w:rPr>
              <w:t>过程依据合同约定，确定</w:t>
            </w:r>
            <w:r>
              <w:rPr>
                <w:rFonts w:hint="eastAsia"/>
                <w:lang w:val="en-US" w:eastAsia="zh-CN"/>
              </w:rPr>
              <w:t>服务</w:t>
            </w:r>
            <w:r>
              <w:rPr>
                <w:rFonts w:hint="eastAsia"/>
              </w:rPr>
              <w:t>地点、</w:t>
            </w:r>
            <w:r>
              <w:rPr>
                <w:rFonts w:hint="eastAsia"/>
                <w:lang w:val="en-US" w:eastAsia="zh-CN"/>
              </w:rPr>
              <w:t>服务要求内容、</w:t>
            </w:r>
            <w:r>
              <w:rPr>
                <w:rFonts w:hint="eastAsia"/>
              </w:rPr>
              <w:t>时间等信息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制定保洁、社区垃圾分类管理服务方案</w:t>
            </w:r>
            <w:r>
              <w:rPr>
                <w:rFonts w:hint="eastAsia"/>
              </w:rPr>
              <w:t>；运营部</w:t>
            </w:r>
            <w:r>
              <w:rPr>
                <w:rFonts w:hint="eastAsia"/>
                <w:lang w:val="en-US" w:eastAsia="zh-CN"/>
              </w:rPr>
              <w:t>安排工作人员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val="en-US" w:eastAsia="zh-CN"/>
              </w:rPr>
              <w:t>每日定点投放垃圾桶、定时回收垃圾桶，对垃圾桶内垃圾进行简单分装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val="en-US" w:eastAsia="zh-CN"/>
              </w:rPr>
              <w:t>不定时对社区群众进行垃圾分类的知识宣传讲解，定期进行督导检查，核实垃圾分类处理的完成程度，</w:t>
            </w:r>
            <w:r>
              <w:rPr>
                <w:rFonts w:hint="eastAsia"/>
              </w:rPr>
              <w:t>流程结束。</w:t>
            </w:r>
          </w:p>
          <w:p>
            <w:pPr>
              <w:spacing w:line="280" w:lineRule="exact"/>
              <w:ind w:firstLine="420" w:firstLineChars="200"/>
              <w:rPr>
                <w:rFonts w:hint="eastAsia"/>
              </w:rPr>
            </w:pPr>
            <w:r>
              <w:rPr>
                <w:rFonts w:hint="eastAsia"/>
              </w:rPr>
              <w:t>主要监测设备有：</w:t>
            </w:r>
            <w:r>
              <w:rPr>
                <w:rFonts w:hint="eastAsia"/>
                <w:lang w:eastAsia="zh-CN"/>
              </w:rPr>
              <w:t>《</w:t>
            </w:r>
            <w:r>
              <w:rPr>
                <w:rFonts w:hint="eastAsia"/>
                <w:lang w:val="en-US" w:eastAsia="zh-CN"/>
              </w:rPr>
              <w:t>垃圾分类第三方服务单位月度考核细则》、《保洁考核办法》</w:t>
            </w:r>
            <w:r>
              <w:rPr>
                <w:rFonts w:hint="eastAsia"/>
              </w:rPr>
              <w:t>。</w:t>
            </w:r>
          </w:p>
          <w:p>
            <w:pPr>
              <w:spacing w:line="280" w:lineRule="exact"/>
              <w:ind w:firstLine="480"/>
            </w:pPr>
            <w:r>
              <w:rPr>
                <w:rFonts w:hint="eastAsia"/>
                <w:lang w:val="en-US" w:eastAsia="zh-CN"/>
              </w:rPr>
              <w:t>参照标准：《杭州市城市市容和环卫管理条例》、《杭州市垃圾分类收集设施设置导则》、DB33/T 1166-2019《城镇生活垃圾分类标准》和合同要求等</w:t>
            </w:r>
            <w:r>
              <w:rPr>
                <w:rFonts w:hint="eastAsia"/>
              </w:rPr>
              <w:t>公司办公现场观察：</w:t>
            </w:r>
          </w:p>
          <w:p>
            <w:pPr>
              <w:spacing w:line="280" w:lineRule="exact"/>
              <w:ind w:firstLine="480"/>
            </w:pPr>
            <w:r>
              <w:rPr>
                <w:rFonts w:hint="eastAsia"/>
                <w:lang w:val="en-US" w:eastAsia="zh-CN"/>
              </w:rPr>
              <w:t>垃圾桶投放</w:t>
            </w:r>
            <w:r>
              <w:rPr>
                <w:rFonts w:hint="eastAsia"/>
              </w:rPr>
              <w:t>人员经公司培训并确认合格上岗。</w:t>
            </w:r>
          </w:p>
          <w:p>
            <w:pPr>
              <w:spacing w:line="280" w:lineRule="exact"/>
              <w:ind w:firstLine="480"/>
            </w:pPr>
            <w:r>
              <w:rPr>
                <w:rFonts w:hint="eastAsia"/>
                <w:lang w:val="en-US" w:eastAsia="zh-CN"/>
              </w:rPr>
              <w:t>服务</w:t>
            </w:r>
            <w:r>
              <w:rPr>
                <w:rFonts w:hint="eastAsia"/>
              </w:rPr>
              <w:t>过程依据合同约定，确定</w:t>
            </w:r>
            <w:r>
              <w:rPr>
                <w:rFonts w:hint="eastAsia"/>
                <w:lang w:val="en-US" w:eastAsia="zh-CN"/>
              </w:rPr>
              <w:t>服务</w:t>
            </w:r>
            <w:r>
              <w:rPr>
                <w:rFonts w:hint="eastAsia"/>
              </w:rPr>
              <w:t>地点、</w:t>
            </w:r>
            <w:r>
              <w:rPr>
                <w:rFonts w:hint="eastAsia"/>
                <w:lang w:val="en-US" w:eastAsia="zh-CN"/>
              </w:rPr>
              <w:t>服务要求内容、</w:t>
            </w:r>
            <w:r>
              <w:rPr>
                <w:rFonts w:hint="eastAsia"/>
              </w:rPr>
              <w:t>时间等信息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制定社区垃圾分类管理服务方案</w:t>
            </w:r>
            <w:r>
              <w:rPr>
                <w:rFonts w:hint="eastAsia"/>
              </w:rPr>
              <w:t>；运营部</w:t>
            </w:r>
            <w:r>
              <w:rPr>
                <w:rFonts w:hint="eastAsia"/>
                <w:lang w:val="en-US" w:eastAsia="zh-CN"/>
              </w:rPr>
              <w:t>安排工作人员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val="en-US" w:eastAsia="zh-CN"/>
              </w:rPr>
              <w:t>每日定点投放垃圾桶、定时回收垃圾桶，对垃圾桶内垃圾进行简单分装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val="en-US" w:eastAsia="zh-CN"/>
              </w:rPr>
              <w:t>不定时对社区群众进行垃圾分类的知识宣传讲解，定期进行督导检查，核实垃圾分类处理的完成程度，</w:t>
            </w:r>
            <w:r>
              <w:rPr>
                <w:rFonts w:hint="eastAsia"/>
              </w:rPr>
              <w:t>流程结束</w:t>
            </w:r>
          </w:p>
          <w:p>
            <w:pPr>
              <w:spacing w:before="120"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通过发放小绿桶、一卡通，分类知识宣传、积分兑换 等活动，引导激励居民参与垃圾分类,让居民把家庭当中的生活垃圾按照四分类规则进行分类投放。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查看《杭州邦凝生态环境建设发展有限公司 靖江街道空港国际垃圾分类方案》：</w:t>
            </w:r>
          </w:p>
          <w:p>
            <w:pPr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城市和农村生活垃圾分类运行过程：</w:t>
            </w:r>
          </w:p>
          <w:p>
            <w:r>
              <w:rPr>
                <w:rFonts w:hint="eastAsia"/>
                <w:lang w:val="en-US" w:eastAsia="zh-CN"/>
              </w:rPr>
              <w:t>1、</w:t>
            </w:r>
            <w:r>
              <w:rPr>
                <w:rFonts w:hint="eastAsia"/>
              </w:rPr>
              <w:t xml:space="preserve">普遍宣传  </w:t>
            </w:r>
          </w:p>
          <w:p>
            <w:r>
              <w:rPr>
                <w:rFonts w:hint="eastAsia"/>
              </w:rPr>
              <w:t>（1）宣传横幅及展示牌  在</w:t>
            </w:r>
            <w:r>
              <w:rPr>
                <w:rFonts w:hint="eastAsia"/>
                <w:lang w:eastAsia="zh-CN"/>
              </w:rPr>
              <w:t>四块区域</w:t>
            </w:r>
            <w:r>
              <w:rPr>
                <w:rFonts w:hint="eastAsia"/>
              </w:rPr>
              <w:t>人流集中且显眼处悬挂有关垃圾分类的横幅及四分类知识牌，增加居民对垃圾分类的认识。</w:t>
            </w:r>
          </w:p>
          <w:p>
            <w:pPr>
              <w:ind w:left="0" w:leftChars="0" w:firstLine="0" w:firstLineChars="0"/>
              <w:jc w:val="center"/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4023995" cy="3018155"/>
                  <wp:effectExtent l="0" t="0" r="1905" b="4445"/>
                  <wp:docPr id="3" name="图片 3" descr="3c480498278c5c2a7069cc0610f1b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c480498278c5c2a7069cc0610f1b8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995" cy="301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br w:type="page"/>
            </w:r>
          </w:p>
          <w:p>
            <w:pPr>
              <w:numPr>
                <w:ilvl w:val="0"/>
                <w:numId w:val="2"/>
              </w:numPr>
              <w:rPr>
                <w:rFonts w:hint="eastAsia"/>
              </w:rPr>
            </w:pPr>
            <w:r>
              <w:rPr>
                <w:rFonts w:hint="eastAsia"/>
              </w:rPr>
              <w:t xml:space="preserve">会议宣传   </w:t>
            </w:r>
          </w:p>
          <w:p>
            <w:pPr>
              <w:numPr>
                <w:ilvl w:val="0"/>
                <w:numId w:val="0"/>
              </w:numPr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结合</w:t>
            </w:r>
            <w:r>
              <w:rPr>
                <w:rFonts w:hint="eastAsia"/>
                <w:lang w:val="en-US" w:eastAsia="zh-CN"/>
              </w:rPr>
              <w:t>居</w:t>
            </w:r>
            <w:r>
              <w:rPr>
                <w:rFonts w:hint="eastAsia"/>
                <w:lang w:eastAsia="zh-CN"/>
              </w:rPr>
              <w:t>委</w:t>
            </w:r>
            <w:r>
              <w:rPr>
                <w:rFonts w:hint="eastAsia"/>
              </w:rPr>
              <w:t>组织党员</w:t>
            </w:r>
            <w:r>
              <w:rPr>
                <w:rFonts w:hint="eastAsia"/>
                <w:lang w:eastAsia="zh-CN"/>
              </w:rPr>
              <w:t>、各户户主（房东）</w:t>
            </w:r>
            <w:r>
              <w:rPr>
                <w:rFonts w:hint="eastAsia"/>
              </w:rPr>
              <w:t>会议讲解垃圾分类相关知识，同时开展动员工作</w:t>
            </w:r>
            <w:r>
              <w:rPr>
                <w:rFonts w:hint="eastAsia"/>
                <w:lang w:eastAsia="zh-CN"/>
              </w:rPr>
              <w:t>，结合</w:t>
            </w:r>
            <w:r>
              <w:rPr>
                <w:rFonts w:hint="eastAsia"/>
                <w:lang w:val="en-US" w:eastAsia="zh-CN"/>
              </w:rPr>
              <w:t>空港国际</w:t>
            </w:r>
            <w:r>
              <w:rPr>
                <w:rFonts w:hint="eastAsia"/>
                <w:lang w:eastAsia="zh-CN"/>
              </w:rPr>
              <w:t>情况，房东起到的作用是最大的，可以统计房东数量和各租客情况，让房东起到宣传督导的作用。</w:t>
            </w:r>
          </w:p>
          <w:p>
            <w:pPr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3679190" cy="2714625"/>
                  <wp:effectExtent l="0" t="0" r="3810" b="3175"/>
                  <wp:docPr id="12" name="图片 12" descr="ba2e299b33cb24ecec67229eb9092c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ba2e299b33cb24ecec67229eb9092c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rcRect r="5003" b="128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19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3919220" cy="1891030"/>
                  <wp:effectExtent l="0" t="0" r="5080" b="1270"/>
                  <wp:docPr id="19" name="图片 19" descr="d7454fdadbbfca90932bee0da5474b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7454fdadbbfca90932bee0da5474b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rcRect b="14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220" cy="189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3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物资发放</w:t>
            </w:r>
          </w:p>
          <w:p>
            <w:pPr>
              <w:numPr>
                <w:ilvl w:val="0"/>
                <w:numId w:val="4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小绿桶发放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居住在空港国际内居民每户均可免费领取容量为8.5升的易腐垃圾桶一个，仅用来存放生活垃圾中的易</w:t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2719705</wp:posOffset>
                  </wp:positionH>
                  <wp:positionV relativeFrom="paragraph">
                    <wp:posOffset>542925</wp:posOffset>
                  </wp:positionV>
                  <wp:extent cx="2125980" cy="1594485"/>
                  <wp:effectExtent l="0" t="0" r="5715" b="7620"/>
                  <wp:wrapSquare wrapText="bothSides"/>
                  <wp:docPr id="5" name="图片 5" descr="04eb58d45c8d5139b3b97e99e657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04eb58d45c8d5139b3b97e99e6575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25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4356100</wp:posOffset>
                  </wp:positionH>
                  <wp:positionV relativeFrom="paragraph">
                    <wp:posOffset>568960</wp:posOffset>
                  </wp:positionV>
                  <wp:extent cx="2169160" cy="1626870"/>
                  <wp:effectExtent l="0" t="0" r="11430" b="2540"/>
                  <wp:wrapSquare wrapText="bothSides"/>
                  <wp:docPr id="4" name="图片 4" descr="f51f93605db844c484c69e99af25c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51f93605db844c484c69e99af25cd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9160" cy="162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腐垃圾，随桶发放有“致居民的一封信”。小绿桶内置智能芯片，能够反馈居民的参与信息和正确率。我公司依托萧山区生活垃圾智能监管平台，通过“一户，一桶，一环”，为每户居民设立一个专属的垃圾分类“智能账户”，实现垃圾分类数据实时上传，并利用大数据做到精准计量和分类溯源。同时，通过垃圾分类，真正实现了源头分类减数量，干湿分离降难度，精细化垃圾分类的模式极大地减少与降低处理垃圾的体积与重量。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（小桶图示如下）</w:t>
            </w:r>
          </w:p>
          <w:p>
            <w:pPr>
              <w:numPr>
                <w:ilvl w:val="0"/>
                <w:numId w:val="4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积分卡发放</w:t>
            </w:r>
          </w:p>
          <w:p>
            <w:pPr>
              <w:bidi w:val="0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随小绿桶发放的还有一张居民的积分卡，积分卡</w:t>
            </w:r>
            <w:r>
              <w:rPr>
                <w:rFonts w:hint="eastAsia"/>
                <w:lang w:eastAsia="zh-CN"/>
              </w:rPr>
              <w:t>卡片上写有您家的房号和小区名称，您可带此卡和需要处理的可回收物到小区固定回收点进行刷卡出售，可回收物会按照重量和种类转换成相应的积分存储到您卡内，积分有以下作用：</w:t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1、积分卡与支付宝接通，卡内积分可直接兑换现金</w:t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2、积分可在支付宝上使用，抵消生活中产生的水电费用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404870" cy="1062355"/>
                  <wp:effectExtent l="0" t="0" r="11430" b="444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870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60980" cy="1840865"/>
                  <wp:effectExtent l="0" t="0" r="7620" b="635"/>
                  <wp:docPr id="11" name="图片 11" descr="d22f030cdc7884806073fe0dc5451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22f030cdc7884806073fe0dc5451f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980" cy="184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706370" cy="1877060"/>
                  <wp:effectExtent l="0" t="0" r="11430" b="2540"/>
                  <wp:docPr id="6" name="图片 6" descr="35906d5b2aa7de4a77dea0dc7adbd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35906d5b2aa7de4a77dea0dc7adbdb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370" cy="187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jc w:val="center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（回收点模板）              （固定回收点回收设备，可刷卡+人脸识别鉴别身份信息）</w:t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ind w:firstLine="105" w:firstLineChars="5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、开展易腐垃圾收集：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jc w:val="left"/>
              <w:textAlignment w:val="auto"/>
            </w:pPr>
            <w: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2921635</wp:posOffset>
                  </wp:positionH>
                  <wp:positionV relativeFrom="paragraph">
                    <wp:posOffset>620395</wp:posOffset>
                  </wp:positionV>
                  <wp:extent cx="3007360" cy="1460500"/>
                  <wp:effectExtent l="0" t="0" r="2540" b="0"/>
                  <wp:wrapNone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36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t>居民只需</w:t>
            </w:r>
            <w:r>
              <w:rPr>
                <w:rFonts w:hint="eastAsia"/>
                <w:lang w:eastAsia="zh-CN"/>
              </w:rPr>
              <w:t>将易腐垃圾</w:t>
            </w:r>
            <w:r>
              <w:rPr>
                <w:rFonts w:hint="eastAsia"/>
                <w:lang w:val="en-US" w:eastAsia="zh-CN"/>
              </w:rPr>
              <w:t>在规定时间内投放到定时定投点位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</w:rPr>
              <w:t>我们会安排专业人员进行</w:t>
            </w:r>
            <w:r>
              <w:rPr>
                <w:rFonts w:hint="eastAsia"/>
                <w:lang w:val="en-US" w:eastAsia="zh-CN"/>
              </w:rPr>
              <w:t>清运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eastAsia="zh-CN"/>
              </w:rPr>
              <w:t>并记录参与分类的户数，并且会对易腐垃圾桶和其他垃圾桶内垃圾进行检查并登记记录</w:t>
            </w:r>
            <w:r>
              <w:rPr>
                <w:rFonts w:hint="eastAsia"/>
              </w:rPr>
              <w:t>。每天从7:00至</w:t>
            </w:r>
            <w:r>
              <w:rPr>
                <w:rFonts w:hint="eastAsia"/>
                <w:lang w:val="en-US" w:eastAsia="zh-CN"/>
              </w:rPr>
              <w:t>9：00</w:t>
            </w:r>
            <w:r>
              <w:rPr>
                <w:rFonts w:hint="eastAsia"/>
              </w:rPr>
              <w:t>，</w:t>
            </w:r>
            <w:r>
              <w:rPr>
                <w:rFonts w:hint="eastAsia"/>
                <w:lang w:eastAsia="zh-CN"/>
              </w:rPr>
              <w:t>下午</w:t>
            </w:r>
            <w:r>
              <w:rPr>
                <w:rFonts w:hint="eastAsia"/>
                <w:lang w:val="en-US" w:eastAsia="zh-CN"/>
              </w:rPr>
              <w:t>18:30-20:30</w:t>
            </w:r>
            <w:r>
              <w:rPr>
                <w:rFonts w:hint="eastAsia"/>
              </w:rPr>
              <w:t>我们工作人员会</w:t>
            </w:r>
            <w:r>
              <w:rPr>
                <w:rFonts w:hint="eastAsia"/>
                <w:lang w:val="en-US" w:eastAsia="zh-CN"/>
              </w:rPr>
              <w:t>将收集点</w:t>
            </w:r>
            <w:r>
              <w:rPr>
                <w:rFonts w:hint="eastAsia"/>
                <w:lang w:eastAsia="zh-CN"/>
              </w:rPr>
              <w:t>的易腐垃圾清理干净。</w:t>
            </w:r>
            <w:r>
              <w:rPr>
                <w:rFonts w:hint="eastAsia"/>
              </w:rPr>
              <w:drawing>
                <wp:inline distT="0" distB="0" distL="114300" distR="114300">
                  <wp:extent cx="2746375" cy="1519555"/>
                  <wp:effectExtent l="0" t="0" r="9525" b="4445"/>
                  <wp:docPr id="26" name="图片 26" descr="7189280ed5a55eac76df48cb4c699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7189280ed5a55eac76df48cb4c6994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375" cy="151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</w:pPr>
            <w:r>
              <w:rPr>
                <w:rFonts w:hint="eastAsia"/>
                <w:lang w:val="en-US" w:eastAsia="zh-CN"/>
              </w:rPr>
              <w:t>3、</w:t>
            </w:r>
            <w:r>
              <w:rPr>
                <w:rFonts w:hint="eastAsia"/>
              </w:rPr>
              <w:t>智</w:t>
            </w:r>
            <w:r>
              <w:rPr>
                <w:rFonts w:hint="eastAsia"/>
                <w:lang w:val="en-US" w:eastAsia="zh-CN"/>
              </w:rPr>
              <w:t>慧</w:t>
            </w:r>
            <w:r>
              <w:rPr>
                <w:rFonts w:hint="eastAsia"/>
              </w:rPr>
              <w:t>云平台</w:t>
            </w:r>
            <w:r>
              <w:rPr>
                <w:rFonts w:hint="eastAsia"/>
                <w:lang w:eastAsia="zh-CN"/>
              </w:rPr>
              <w:t>（</w:t>
            </w:r>
            <w:r>
              <w:rPr>
                <w:rFonts w:hint="eastAsia"/>
                <w:lang w:val="en-US" w:eastAsia="zh-CN"/>
              </w:rPr>
              <w:t>智能称重系统</w:t>
            </w:r>
            <w:r>
              <w:rPr>
                <w:rFonts w:hint="eastAsia"/>
                <w:lang w:eastAsia="zh-CN"/>
              </w:rPr>
              <w:t>）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垃圾分类智慧云平台的作用：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（1）可追踪溯源，追踪源头分类情况。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（2）称重计量每家每户产生易腐垃圾的重量，快速汇总每天所产生的总重量，给政府提供决策依据。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（3）上传分类数据至终端云平台，进行分析居民参与情况，可筛选分类错误或未参与的家庭，从而精准上门宣传和教育。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（4）参与数据实时上传至区垃圾办平台，同时可直接将数据接口连通社区，社区领导也可实时查看所属小区参与情况，并对工作提出具体考核要求。</w:t>
            </w:r>
            <w:r>
              <w:rPr>
                <w:rFonts w:hint="eastAsia"/>
                <w:lang w:val="en-US" w:eastAsia="zh-CN"/>
              </w:rPr>
              <w:br w:type="page"/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4、</w:t>
            </w:r>
            <w:r>
              <w:rPr>
                <w:rFonts w:hint="eastAsia"/>
              </w:rPr>
              <w:t>集中收集</w:t>
            </w:r>
            <w:r>
              <w:rPr>
                <w:rFonts w:hint="eastAsia"/>
                <w:lang w:val="en-US" w:eastAsia="zh-CN"/>
              </w:rPr>
              <w:t>至集置点</w:t>
            </w:r>
            <w:r>
              <w:rPr>
                <w:rFonts w:hint="eastAsia"/>
              </w:rPr>
              <w:t>：</w:t>
            </w:r>
          </w:p>
          <w:p>
            <w:pPr>
              <w:numPr>
                <w:ilvl w:val="0"/>
                <w:numId w:val="0"/>
              </w:numPr>
              <w:ind w:leftChars="0" w:firstLine="420" w:firstLineChars="200"/>
            </w:pPr>
            <w:r>
              <w:rPr>
                <w:rFonts w:hint="eastAsia"/>
              </w:rPr>
              <w:t>服务人员使用专用智能回收电动车，定时</w:t>
            </w:r>
            <w:r>
              <w:rPr>
                <w:rFonts w:hint="eastAsia"/>
                <w:lang w:val="en-US" w:eastAsia="zh-CN"/>
              </w:rPr>
              <w:t>将</w:t>
            </w:r>
            <w:r>
              <w:rPr>
                <w:rFonts w:hint="eastAsia"/>
              </w:rPr>
              <w:t>240L专用易腐垃圾桶集中至易腐垃圾集置点，与第三方易腐垃圾垃圾收集车对接转运后处理，不影响</w:t>
            </w:r>
            <w:r>
              <w:rPr>
                <w:rFonts w:hint="eastAsia"/>
                <w:lang w:eastAsia="zh-CN"/>
              </w:rPr>
              <w:t>居民的门口</w:t>
            </w:r>
            <w:r>
              <w:rPr>
                <w:rFonts w:hint="eastAsia"/>
              </w:rPr>
              <w:t>环境。</w:t>
            </w:r>
          </w:p>
          <w:p>
            <w:pPr>
              <w:ind w:left="0" w:leftChars="0" w:firstLine="0" w:firstLineChars="0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552700" cy="1914525"/>
                  <wp:effectExtent l="0" t="0" r="0" b="3175"/>
                  <wp:docPr id="32" name="图片 32" descr="df5d7a5e2c403aade9ce80b603be8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df5d7a5e2c403aade9ce80b603be88c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1914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2590165" cy="1943100"/>
                  <wp:effectExtent l="0" t="0" r="635" b="0"/>
                  <wp:docPr id="34" name="图片 34" descr="ae26b13a8f2b17c72748056af63af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ae26b13a8f2b17c72748056af63af3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165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</w:rPr>
              <w:t>标识易腐垃圾存放处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与其他垃圾分类存放。</w:t>
            </w:r>
          </w:p>
          <w:p>
            <w:r>
              <w:rPr>
                <w:rFonts w:hint="eastAsia"/>
              </w:rPr>
              <w:t>协调</w:t>
            </w:r>
            <w:r>
              <w:rPr>
                <w:rFonts w:hint="eastAsia"/>
                <w:lang w:val="en-US" w:eastAsia="zh-CN"/>
              </w:rPr>
              <w:t>易腐</w:t>
            </w:r>
            <w:r>
              <w:rPr>
                <w:rFonts w:hint="eastAsia"/>
              </w:rPr>
              <w:t>垃圾处理公司清运易腐垃圾。</w:t>
            </w:r>
          </w:p>
          <w:p>
            <w:pPr>
              <w:rPr>
                <w:rFonts w:hint="eastAsia"/>
              </w:rPr>
            </w:pPr>
            <w:r>
              <w:rPr>
                <w:rFonts w:hint="eastAsia"/>
              </w:rPr>
              <w:br w:type="page"/>
            </w:r>
          </w:p>
          <w:p>
            <w:pPr>
              <w:bidi w:val="0"/>
            </w:pPr>
            <w:r>
              <w:rPr>
                <w:rFonts w:hint="eastAsia"/>
              </w:rPr>
              <w:t xml:space="preserve"> 四、持续宣传活动阶段</w:t>
            </w:r>
          </w:p>
          <w:p>
            <w:pPr>
              <w:spacing w:line="360" w:lineRule="auto"/>
              <w:ind w:firstLine="420" w:firstLineChars="200"/>
              <w:jc w:val="left"/>
            </w:pPr>
            <w:r>
              <w:rPr>
                <w:rFonts w:hint="eastAsia"/>
                <w:lang w:val="en-US" w:eastAsia="zh-CN"/>
              </w:rPr>
              <w:t>1</w:t>
            </w:r>
            <w:r>
              <w:rPr>
                <w:rFonts w:hint="eastAsia"/>
              </w:rPr>
              <w:t>、对分类不正确</w:t>
            </w:r>
            <w:r>
              <w:rPr>
                <w:rFonts w:hint="eastAsia"/>
                <w:lang w:eastAsia="zh-CN"/>
              </w:rPr>
              <w:t>和未分类</w:t>
            </w:r>
            <w:r>
              <w:rPr>
                <w:rFonts w:hint="eastAsia"/>
              </w:rPr>
              <w:t>的居民进行细致耐心的劝导。</w:t>
            </w:r>
          </w:p>
          <w:p>
            <w:pPr>
              <w:spacing w:line="360" w:lineRule="auto"/>
              <w:ind w:firstLine="420" w:firstLineChars="2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2793365</wp:posOffset>
                  </wp:positionH>
                  <wp:positionV relativeFrom="paragraph">
                    <wp:posOffset>109855</wp:posOffset>
                  </wp:positionV>
                  <wp:extent cx="2731770" cy="2049145"/>
                  <wp:effectExtent l="0" t="0" r="11430" b="8255"/>
                  <wp:wrapSquare wrapText="bothSides"/>
                  <wp:docPr id="9" name="图片 9" descr="4a62c67f1cac65b92c5088863deb4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4a62c67f1cac65b92c5088863deb4e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770" cy="204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</w:rPr>
              <w:drawing>
                <wp:inline distT="0" distB="0" distL="114300" distR="114300">
                  <wp:extent cx="2333625" cy="2114550"/>
                  <wp:effectExtent l="0" t="0" r="3175" b="6350"/>
                  <wp:docPr id="21" name="图片 33" descr="e64a376f807ad8e76b962e631baf6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3" descr="e64a376f807ad8e76b962e631baf6f0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704" cy="2121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left"/>
            </w:pPr>
            <w:r>
              <w:rPr>
                <w:rFonts w:hint="eastAsia"/>
                <w:lang w:val="en-US" w:eastAsia="zh-CN"/>
              </w:rPr>
              <w:t>2</w:t>
            </w:r>
            <w:r>
              <w:rPr>
                <w:rFonts w:hint="eastAsia"/>
              </w:rPr>
              <w:t>、志愿者活动</w:t>
            </w:r>
          </w:p>
          <w:p>
            <w:pPr>
              <w:spacing w:line="360" w:lineRule="auto"/>
              <w:ind w:firstLine="420" w:firstLineChars="200"/>
            </w:pPr>
            <w:r>
              <w:rPr>
                <w:rFonts w:hint="eastAsia"/>
              </w:rPr>
              <w:t>结合</w:t>
            </w:r>
            <w:r>
              <w:rPr>
                <w:rFonts w:hint="eastAsia"/>
                <w:lang w:val="en-US" w:eastAsia="zh-CN"/>
              </w:rPr>
              <w:t>空港国际附近</w:t>
            </w:r>
            <w:r>
              <w:rPr>
                <w:rFonts w:hint="eastAsia"/>
              </w:rPr>
              <w:t>的小学携手，组织志愿者活动，针对</w:t>
            </w:r>
            <w:r>
              <w:rPr>
                <w:rFonts w:hint="eastAsia"/>
                <w:lang w:val="en-US" w:eastAsia="zh-CN"/>
              </w:rPr>
              <w:t>空港国际</w:t>
            </w:r>
            <w:r>
              <w:rPr>
                <w:rFonts w:hint="eastAsia"/>
              </w:rPr>
              <w:t>垃圾分类情况招募垃圾分类推广小使者，由垃圾生活分类宣导员向推广小使者详细讲解垃圾分类的意义、分类标准、分类回收箱的具体投放方法。小使者以志愿者的形式参与垃圾分类宣传活动，以自身带动家庭进行垃圾分类投放。</w:t>
            </w:r>
          </w:p>
          <w:p>
            <w:pPr>
              <w:spacing w:line="360" w:lineRule="auto"/>
              <w:ind w:firstLine="420" w:firstLineChars="200"/>
              <w:rPr>
                <w:rFonts w:hint="eastAsia"/>
                <w:lang w:eastAsia="zh-CN"/>
              </w:rPr>
            </w:pPr>
            <w:r>
              <w:drawing>
                <wp:anchor distT="0" distB="0" distL="0" distR="0" simplePos="0" relativeHeight="251668480" behindDoc="1" locked="0" layoutInCell="1" allowOverlap="1">
                  <wp:simplePos x="0" y="0"/>
                  <wp:positionH relativeFrom="column">
                    <wp:posOffset>3500755</wp:posOffset>
                  </wp:positionH>
                  <wp:positionV relativeFrom="paragraph">
                    <wp:posOffset>5080</wp:posOffset>
                  </wp:positionV>
                  <wp:extent cx="2665095" cy="1710690"/>
                  <wp:effectExtent l="0" t="0" r="1905" b="3810"/>
                  <wp:wrapTight wrapText="bothSides">
                    <wp:wrapPolygon>
                      <wp:start x="0" y="0"/>
                      <wp:lineTo x="0" y="21488"/>
                      <wp:lineTo x="21513" y="21488"/>
                      <wp:lineTo x="21513" y="0"/>
                      <wp:lineTo x="0" y="0"/>
                    </wp:wrapPolygon>
                  </wp:wrapTight>
                  <wp:docPr id="28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95" cy="171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3069590" cy="1454150"/>
                  <wp:effectExtent l="0" t="0" r="3810" b="6350"/>
                  <wp:docPr id="15" name="图片 15" descr="218a4ecacb71a98b16a85e1ac74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18a4ecacb71a98b16a85e1ac74631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90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120"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  <w:r>
              <w:rPr>
                <w:rFonts w:hint="eastAsia"/>
              </w:rPr>
              <w:t>、</w:t>
            </w:r>
            <w:r>
              <w:rPr>
                <w:rFonts w:hint="eastAsia"/>
                <w:lang w:val="en-US" w:eastAsia="zh-CN"/>
              </w:rPr>
              <w:t>亲子互动</w:t>
            </w:r>
          </w:p>
          <w:p>
            <w:pPr>
              <w:spacing w:before="120"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在居民活动中心举办垃圾分类知识亲子活动，以小朋友的视角介绍垃圾分类的意义、实施的必要性、垃圾分类的标准等，并开展亲子互动，使家长身体力行自觉做好垃圾分类投放的榜样。</w:t>
            </w:r>
          </w:p>
          <w:p>
            <w:pPr>
              <w:spacing w:before="120" w:line="320" w:lineRule="exact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社区垃圾分类管理服务过程检验活动包括原材料检验、服务过程中开展的垃圾分类宣导和教育培训的记录、服务完成度检，符合要求。原材料、过程和最终服务完成度的监视和测量记录见 Q8.6 审核记录。</w:t>
            </w:r>
          </w:p>
          <w:p>
            <w:pPr>
              <w:spacing w:before="120" w:line="320" w:lineRule="exac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</w:p>
          <w:p>
            <w:pPr>
              <w:spacing w:before="120" w:line="320" w:lineRule="exact"/>
              <w:rPr>
                <w:rFonts w:hint="eastAsia"/>
                <w:lang w:val="en-US" w:eastAsia="zh-CN"/>
              </w:rPr>
            </w:pPr>
          </w:p>
          <w:p>
            <w:pPr>
              <w:spacing w:before="120"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早班查看，现场工作人员在垃圾分类回收现场维护秩序，指导居民进行垃圾回收操作，针对可回收利用的废纸、废塑料、废铁等垃圾，在居民使用四分类秤识别垃圾种类与重量后，将此类可回收垃圾放置于指定位置，以便后期转运。现场操作人员，佩戴劳保用品，设备操作熟练，掌握垃圾分类知识。</w:t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2976245</wp:posOffset>
                  </wp:positionH>
                  <wp:positionV relativeFrom="paragraph">
                    <wp:posOffset>824865</wp:posOffset>
                  </wp:positionV>
                  <wp:extent cx="3171190" cy="1797685"/>
                  <wp:effectExtent l="0" t="0" r="3810" b="5715"/>
                  <wp:wrapSquare wrapText="bothSides"/>
                  <wp:docPr id="2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190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139065</wp:posOffset>
                  </wp:positionV>
                  <wp:extent cx="2874645" cy="1825625"/>
                  <wp:effectExtent l="0" t="0" r="8255" b="3175"/>
                  <wp:wrapSquare wrapText="bothSides"/>
                  <wp:docPr id="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rPr>
                <w:rFonts w:hint="eastAsia"/>
                <w:lang w:val="en-US" w:eastAsia="zh-CN"/>
              </w:rPr>
            </w:pPr>
          </w:p>
          <w:p>
            <w:pPr>
              <w:pStyle w:val="2"/>
            </w:pPr>
            <w:r>
              <w:rPr>
                <w:rFonts w:hint="eastAsia"/>
                <w:lang w:val="en-US" w:eastAsia="zh-CN"/>
              </w:rPr>
              <w:t>保洁服务：</w:t>
            </w:r>
            <w:r>
              <w:rPr>
                <w:rFonts w:hint="eastAsia"/>
              </w:rPr>
              <w:t>了解管理区域内的保洁服务→制定保洁方案→配置保洁工具、安排保洁人员→保洁服务排班→制定保洁服务验收方案→定期检验保洁品质</w:t>
            </w:r>
          </w:p>
          <w:p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道路保洁</w:t>
            </w:r>
          </w:p>
          <w:p>
            <w:pPr>
              <w:bidi w:val="0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1、道路清扫保洁技术措施</w:t>
            </w:r>
          </w:p>
          <w:p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按各区域划分的路段实施作业，分段督导跟踪，分点检查考核，严格落实目标责任制和质量问责制。</w:t>
            </w:r>
          </w:p>
          <w:p>
            <w:pPr>
              <w:bidi w:val="0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2、道路清扫保洁模式</w: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175895</wp:posOffset>
                      </wp:positionH>
                      <wp:positionV relativeFrom="paragraph">
                        <wp:posOffset>6350</wp:posOffset>
                      </wp:positionV>
                      <wp:extent cx="5489575" cy="1407795"/>
                      <wp:effectExtent l="0" t="0" r="9525" b="1905"/>
                      <wp:wrapNone/>
                      <wp:docPr id="2181" name="组合 21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9575" cy="1407795"/>
                                <a:chOff x="2451" y="483843"/>
                                <a:chExt cx="8645" cy="2217"/>
                              </a:xfrm>
                              <a:effectLst/>
                            </wpg:grpSpPr>
                            <wps:wsp>
                              <wps:cNvPr id="449" name="文本框 167"/>
                              <wps:cNvSpPr txBox="1"/>
                              <wps:spPr>
                                <a:xfrm>
                                  <a:off x="2451" y="484448"/>
                                  <a:ext cx="1578" cy="10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C090">
                                    <a:lumMod val="60000"/>
                                    <a:lumOff val="40000"/>
                                  </a:srgbClr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ind w:firstLine="0" w:firstLineChars="0"/>
                                      <w:jc w:val="center"/>
                                      <w:textAlignment w:val="auto"/>
                                      <w:rPr>
                                        <w:rFonts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  <w:szCs w:val="24"/>
                                      </w:rPr>
                                      <w:t>项目</w:t>
                                    </w:r>
                                  </w:p>
                                  <w:p>
                                    <w:pPr>
                                      <w:ind w:left="0" w:leftChars="0" w:firstLine="0" w:firstLineChars="0"/>
                                      <w:jc w:val="center"/>
                                      <w:rPr>
                                        <w:rFonts w:hint="eastAsia"/>
                                        <w:color w:val="FAC090" w:themeColor="accent6" w:themeTint="99"/>
                                        <w:sz w:val="24"/>
                                        <w:szCs w:val="24"/>
                                        <w14:textFill>
                                          <w14:solidFill>
                                            <w14:schemeClr w14:val="accent6">
                                              <w14:lumMod w14:val="60000"/>
                                              <w14:lumOff w14:val="40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  <w:szCs w:val="24"/>
                                      </w:rPr>
                                      <w:t>道路</w:t>
                                    </w:r>
                                  </w:p>
                                </w:txbxContent>
                              </wps:txbx>
                              <wps:bodyPr lIns="91439" tIns="45719" rIns="91439" bIns="45719" upright="1"/>
                            </wps:wsp>
                            <wps:wsp>
                              <wps:cNvPr id="450" name="文本框 169"/>
                              <wps:cNvSpPr txBox="1"/>
                              <wps:spPr>
                                <a:xfrm>
                                  <a:off x="5146" y="485017"/>
                                  <a:ext cx="1358" cy="99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C090">
                                    <a:lumMod val="60000"/>
                                    <a:lumOff val="40000"/>
                                  </a:srgbClr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240" w:lineRule="auto"/>
                                      <w:ind w:left="0" w:leftChars="0" w:firstLine="0" w:firstLineChars="0"/>
                                      <w:jc w:val="both"/>
                                      <w:textAlignment w:val="auto"/>
                                      <w:rPr>
                                        <w:rFonts w:hint="eastAsi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240" w:lineRule="auto"/>
                                      <w:ind w:left="0" w:leftChars="0" w:firstLine="0" w:firstLineChars="0"/>
                                      <w:jc w:val="center"/>
                                      <w:textAlignment w:val="auto"/>
                                      <w:rPr>
                                        <w:rFonts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  <w:szCs w:val="24"/>
                                      </w:rPr>
                                      <w:t>保洁</w:t>
                                    </w:r>
                                  </w:p>
                                </w:txbxContent>
                              </wps:txbx>
                              <wps:bodyPr lIns="91439" tIns="45719" rIns="91439" bIns="45719" upright="1"/>
                            </wps:wsp>
                            <wps:wsp>
                              <wps:cNvPr id="451" name="文本框 222"/>
                              <wps:cNvSpPr txBox="1"/>
                              <wps:spPr>
                                <a:xfrm>
                                  <a:off x="5146" y="483843"/>
                                  <a:ext cx="1358" cy="9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C090">
                                    <a:lumMod val="60000"/>
                                    <a:lumOff val="40000"/>
                                  </a:srgbClr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ind w:left="0" w:leftChars="0" w:firstLine="0" w:firstLineChars="0"/>
                                      <w:jc w:val="center"/>
                                      <w:rPr>
                                        <w:rFonts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  <w:szCs w:val="24"/>
                                      </w:rPr>
                                      <w:t>人工</w:t>
                                    </w:r>
                                  </w:p>
                                  <w:p>
                                    <w:pPr>
                                      <w:ind w:left="0" w:leftChars="0" w:firstLine="0" w:firstLineChars="0"/>
                                      <w:jc w:val="center"/>
                                      <w:rPr>
                                        <w:rFonts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  <w:szCs w:val="24"/>
                                      </w:rPr>
                                      <w:t>清扫</w:t>
                                    </w:r>
                                  </w:p>
                                </w:txbxContent>
                              </wps:txbx>
                              <wps:bodyPr lIns="91439" tIns="45719" rIns="91439" bIns="45719" upright="1"/>
                            </wps:wsp>
                            <wps:wsp>
                              <wps:cNvPr id="452" name="文本框 154"/>
                              <wps:cNvSpPr txBox="1"/>
                              <wps:spPr>
                                <a:xfrm>
                                  <a:off x="8928" y="485020"/>
                                  <a:ext cx="2168" cy="1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C090">
                                    <a:lumMod val="60000"/>
                                    <a:lumOff val="40000"/>
                                  </a:srgbClr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240" w:lineRule="auto"/>
                                      <w:ind w:left="0" w:leftChars="0" w:firstLine="0" w:firstLineChars="0"/>
                                      <w:jc w:val="both"/>
                                      <w:textAlignment w:val="auto"/>
                                      <w:rPr>
                                        <w:rFonts w:hint="eastAsia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>
                                    <w:pPr>
                                      <w:keepNext w:val="0"/>
                                      <w:keepLines w:val="0"/>
                                      <w:pageBreakBefore w:val="0"/>
                                      <w:widowControl w:val="0"/>
                                      <w:kinsoku/>
                                      <w:wordWrap/>
                                      <w:overflowPunct/>
                                      <w:topLinePunct w:val="0"/>
                                      <w:autoSpaceDE/>
                                      <w:autoSpaceDN/>
                                      <w:bidi w:val="0"/>
                                      <w:adjustRightInd/>
                                      <w:snapToGrid/>
                                      <w:spacing w:line="240" w:lineRule="auto"/>
                                      <w:ind w:left="0" w:leftChars="0" w:firstLine="0" w:firstLineChars="0"/>
                                      <w:jc w:val="center"/>
                                      <w:textAlignment w:val="auto"/>
                                      <w:rPr>
                                        <w:rFonts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  <w:szCs w:val="24"/>
                                      </w:rPr>
                                      <w:t>快速保洁车</w:t>
                                    </w:r>
                                  </w:p>
                                </w:txbxContent>
                              </wps:txbx>
                              <wps:bodyPr lIns="91439" tIns="45719" rIns="91439" bIns="45719" upright="1"/>
                            </wps:wsp>
                            <wpg:grpSp>
                              <wpg:cNvPr id="2182" name="组合 370"/>
                              <wpg:cNvGrpSpPr/>
                              <wpg:grpSpPr>
                                <a:xfrm rot="0">
                                  <a:off x="4005" y="484352"/>
                                  <a:ext cx="988" cy="1319"/>
                                  <a:chOff x="0" y="0"/>
                                  <a:chExt cx="868" cy="1256"/>
                                </a:xfrm>
                                <a:effectLst/>
                              </wpg:grpSpPr>
                              <wpg:grpSp>
                                <wpg:cNvPr id="2183" name="组合 368"/>
                                <wpg:cNvGrpSpPr/>
                                <wpg:grpSpPr>
                                  <a:xfrm>
                                    <a:off x="524" y="0"/>
                                    <a:ext cx="345" cy="1256"/>
                                    <a:chOff x="0" y="0"/>
                                    <a:chExt cx="345" cy="1256"/>
                                  </a:xfrm>
                                  <a:effectLst/>
                                </wpg:grpSpPr>
                                <wps:wsp>
                                  <wps:cNvPr id="455" name="直接连接符 365"/>
                                  <wps:cNvCnPr/>
                                  <wps:spPr>
                                    <a:xfrm>
                                      <a:off x="15" y="14"/>
                                      <a:ext cx="330" cy="1"/>
                                    </a:xfrm>
                                    <a:prstGeom prst="line">
                                      <a:avLst/>
                                    </a:prstGeom>
                                    <a:ln w="158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 upright="1"/>
                                </wps:wsp>
                                <wps:wsp>
                                  <wps:cNvPr id="456" name="直接连接符 366"/>
                                  <wps:cNvCnPr/>
                                  <wps:spPr>
                                    <a:xfrm>
                                      <a:off x="0" y="1256"/>
                                      <a:ext cx="330" cy="1"/>
                                    </a:xfrm>
                                    <a:prstGeom prst="line">
                                      <a:avLst/>
                                    </a:prstGeom>
                                    <a:ln w="158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triangle" w="med" len="med"/>
                                    </a:ln>
                                    <a:effectLst/>
                                  </wps:spPr>
                                  <wps:bodyPr upright="1"/>
                                </wps:wsp>
                                <wps:wsp>
                                  <wps:cNvPr id="457" name="直接连接符 367"/>
                                  <wps:cNvCnPr/>
                                  <wps:spPr>
                                    <a:xfrm>
                                      <a:off x="0" y="0"/>
                                      <a:ext cx="1" cy="1251"/>
                                    </a:xfrm>
                                    <a:prstGeom prst="line">
                                      <a:avLst/>
                                    </a:prstGeom>
                                    <a:ln w="1587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none" w="med" len="med"/>
                                    </a:ln>
                                    <a:effectLst/>
                                  </wps:spPr>
                                  <wps:bodyPr upright="1"/>
                                </wps:wsp>
                              </wpg:grpSp>
                              <wps:wsp>
                                <wps:cNvPr id="458" name="直接连接符 369"/>
                                <wps:cNvCnPr/>
                                <wps:spPr>
                                  <a:xfrm>
                                    <a:off x="0" y="609"/>
                                    <a:ext cx="495" cy="1"/>
                                  </a:xfrm>
                                  <a:prstGeom prst="line">
                                    <a:avLst/>
                                  </a:prstGeom>
                                  <a:ln w="158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upright="1"/>
                              </wps:wsp>
                            </wpg:grpSp>
                            <wps:wsp>
                              <wps:cNvPr id="459" name="直接连接符 161"/>
                              <wps:cNvCnPr/>
                              <wps:spPr>
                                <a:xfrm>
                                  <a:off x="6582" y="485504"/>
                                  <a:ext cx="2203" cy="1"/>
                                </a:xfrm>
                                <a:prstGeom prst="line">
                                  <a:avLst/>
                                </a:prstGeom>
                                <a:ln w="158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  <a:effectLst/>
                              </wps:spPr>
                              <wps:bodyPr upright="1"/>
                            </wps:wsp>
                            <wpg:grpSp>
                              <wpg:cNvPr id="2184" name="组合 381"/>
                              <wpg:cNvGrpSpPr/>
                              <wpg:grpSpPr>
                                <a:xfrm rot="0">
                                  <a:off x="6770" y="483922"/>
                                  <a:ext cx="546" cy="725"/>
                                  <a:chOff x="0" y="0"/>
                                  <a:chExt cx="480" cy="690"/>
                                </a:xfrm>
                                <a:effectLst/>
                              </wpg:grpSpPr>
                              <wps:wsp>
                                <wps:cNvPr id="461" name="直接连接符 379"/>
                                <wps:cNvCnPr/>
                                <wps:spPr>
                                  <a:xfrm>
                                    <a:off x="0" y="360"/>
                                    <a:ext cx="480" cy="1"/>
                                  </a:xfrm>
                                  <a:prstGeom prst="line">
                                    <a:avLst/>
                                  </a:prstGeom>
                                  <a:ln w="158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upright="1"/>
                              </wps:wsp>
                              <wps:wsp>
                                <wps:cNvPr id="462" name="直接连接符 380"/>
                                <wps:cNvCnPr/>
                                <wps:spPr>
                                  <a:xfrm>
                                    <a:off x="225" y="0"/>
                                    <a:ext cx="1" cy="690"/>
                                  </a:xfrm>
                                  <a:prstGeom prst="line">
                                    <a:avLst/>
                                  </a:prstGeom>
                                  <a:ln w="1587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none" w="med" len="med"/>
                                  </a:ln>
                                  <a:effectLst/>
                                </wps:spPr>
                                <wps:bodyPr upright="1"/>
                              </wps:wsp>
                            </wpg:grpSp>
                            <wps:wsp>
                              <wps:cNvPr id="463" name="文本框 223"/>
                              <wps:cNvSpPr txBox="1"/>
                              <wps:spPr>
                                <a:xfrm>
                                  <a:off x="7570" y="483843"/>
                                  <a:ext cx="1358" cy="94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AC090">
                                    <a:lumMod val="60000"/>
                                    <a:lumOff val="40000"/>
                                  </a:srgbClr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>
                                    <w:pPr>
                                      <w:ind w:left="0" w:leftChars="0" w:firstLine="0" w:firstLineChars="0"/>
                                      <w:jc w:val="center"/>
                                      <w:rPr>
                                        <w:rFonts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  <w:szCs w:val="24"/>
                                      </w:rPr>
                                      <w:t>高压</w:t>
                                    </w:r>
                                  </w:p>
                                  <w:p>
                                    <w:pPr>
                                      <w:ind w:left="0" w:leftChars="0" w:firstLine="0" w:firstLineChars="0"/>
                                      <w:jc w:val="center"/>
                                      <w:rPr>
                                        <w:rFonts w:hint="eastAsia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24"/>
                                        <w:szCs w:val="24"/>
                                      </w:rPr>
                                      <w:t>冲洗</w:t>
                                    </w:r>
                                  </w:p>
                                </w:txbxContent>
                              </wps:txbx>
                              <wps:bodyPr lIns="91439" tIns="45719" rIns="91439" bIns="45719"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3.85pt;margin-top:0.5pt;height:110.85pt;width:432.25pt;z-index:251666432;mso-width-relative:page;mso-height-relative:page;" coordorigin="2451,483843" coordsize="8645,2217" o:gfxdata="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">
                      <o:lock v:ext="edit" aspectratio="f"/>
                      <v:shape id="文本框 167" o:spid="_x0000_s1026" o:spt="202" type="#_x0000_t202" style="position:absolute;left:2451;top:484448;height:1023;width:1578;" fillcolor="#FCD9BC" filled="t" stroked="f" coordsize="21600,21600" o:gfxdata="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vm2+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  <v:textbox inset="7.19992125984252pt,3.59992125984252pt,7.19992125984252pt,3.59992125984252pt"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ind w:firstLine="0" w:firstLineChars="0"/>
                                <w:jc w:val="center"/>
                                <w:textAlignment w:val="auto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项目</w:t>
                              </w:r>
                            </w:p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eastAsia"/>
                                  <w:color w:val="FAC090" w:themeColor="accent6" w:themeTint="99"/>
                                  <w:sz w:val="24"/>
                                  <w:szCs w:val="24"/>
                                  <w14:textFill>
                                    <w14:solidFill>
                                      <w14:schemeClr w14:val="accent6">
                                        <w14:lumMod w14:val="60000"/>
                                        <w14:lumOff w14:val="4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道路</w:t>
                              </w:r>
                            </w:p>
                          </w:txbxContent>
                        </v:textbox>
                      </v:shape>
                      <v:shape id="文本框 169" o:spid="_x0000_s1026" o:spt="202" type="#_x0000_t202" style="position:absolute;left:5146;top:485017;height:991;width:1358;" fillcolor="#FCD9BC" filled="t" stroked="f" coordsize="21600,21600" o:gfxdata="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hqJubsAAADc&#10;AAAADwAAAAAAAAABACAAAAAiAAAAZHJzL2Rvd25yZXYueG1sUEsBAhQAFAAAAAgAh07iQDMvBZ47&#10;AAAAOQAAABAAAAAAAAAAAQAgAAAACgEAAGRycy9zaGFwZXhtbC54bWxQSwUGAAAAAAYABgBbAQAA&#10;tAMAAAAA&#10;">
                        <v:fill on="t" focussize="0,0"/>
                        <v:stroke on="f"/>
                        <v:imagedata o:title=""/>
                        <o:lock v:ext="edit" aspectratio="f"/>
                        <v:textbox inset="7.19992125984252pt,3.59992125984252pt,7.19992125984252pt,3.59992125984252pt"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left="0" w:leftChars="0" w:firstLine="0" w:firstLineChars="0"/>
                                <w:jc w:val="both"/>
                                <w:textAlignment w:val="auto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保洁</w:t>
                              </w:r>
                            </w:p>
                          </w:txbxContent>
                        </v:textbox>
                      </v:shape>
                      <v:shape id="文本框 222" o:spid="_x0000_s1026" o:spt="202" type="#_x0000_t202" style="position:absolute;left:5146;top:483843;height:949;width:1358;" fillcolor="#FCD9BC" filled="t" stroked="f" coordsize="21600,21600" o:gfxdata="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VYsIr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  <v:textbox inset="7.19992125984252pt,3.59992125984252pt,7.19992125984252pt,3.59992125984252pt"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人工</w:t>
                              </w:r>
                            </w:p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清扫</w:t>
                              </w:r>
                            </w:p>
                          </w:txbxContent>
                        </v:textbox>
                      </v:shape>
                      <v:shape id="文本框 154" o:spid="_x0000_s1026" o:spt="202" type="#_x0000_t202" style="position:absolute;left:8928;top:485020;height:1040;width:2168;" fillcolor="#FCD9BC" filled="t" stroked="f" coordsize="21600,21600" o:gfxdata="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YSyVb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  <v:textbox inset="7.19992125984252pt,3.59992125984252pt,7.19992125984252pt,3.59992125984252pt"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left="0" w:leftChars="0" w:firstLine="0" w:firstLineChars="0"/>
                                <w:jc w:val="both"/>
                                <w:textAlignment w:val="auto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auto"/>
                                <w:ind w:left="0" w:leftChars="0" w:firstLine="0" w:firstLineChars="0"/>
                                <w:jc w:val="center"/>
                                <w:textAlignment w:val="auto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快速保洁车</w:t>
                              </w:r>
                            </w:p>
                          </w:txbxContent>
                        </v:textbox>
                      </v:shape>
                      <v:group id="组合 370" o:spid="_x0000_s1026" o:spt="203" style="position:absolute;left:4005;top:484352;height:1319;width:988;" coordsize="868,1256" o:gfxdata="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JPKkrvwAAAN0AAAAPAAAAAAAAAAEAIAAAACIAAABkcnMvZG93bnJldi54&#10;bWxQSwECFAAUAAAACACHTuJAMy8FnjsAAAA5AAAAFQAAAAAAAAABACAAAAAOAQAAZHJzL2dyb3Vw&#10;c2hhcGV4bWwueG1sUEsFBgAAAAAGAAYAYAEAAMsDAAAAAA==&#10;">
                        <o:lock v:ext="edit" aspectratio="f"/>
                        <v:group id="组合 368" o:spid="_x0000_s1026" o:spt="203" style="position:absolute;left:524;top:0;height:1256;width:345;" coordsize="345,1256" o:gfxdata="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ZwDLC+AAAA3QAAAA8AAAAAAAAAAQAgAAAAIgAAAGRycy9kb3ducmV2Lnht&#10;bFBLAQIUABQAAAAIAIdO4kAzLwWeOwAAADkAAAAVAAAAAAAAAAEAIAAAAA0BAABkcnMvZ3JvdXBz&#10;aGFwZXhtbC54bWxQSwUGAAAAAAYABgBgAQAAygMAAAAA&#10;">
                          <o:lock v:ext="edit" aspectratio="f"/>
                          <v:line id="直接连接符 365" o:spid="_x0000_s1026" o:spt="20" style="position:absolute;left:15;top:14;height:1;width:330;" filled="f" stroked="t" coordsize="21600,21600" o:gfxdata="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K7RTvQAA&#10;ANw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1.25pt" color="#000000" joinstyle="round" endarrow="block"/>
                            <v:imagedata o:title=""/>
                            <o:lock v:ext="edit" aspectratio="f"/>
                          </v:line>
                          <v:line id="直接连接符 366" o:spid="_x0000_s1026" o:spt="20" style="position:absolute;left:0;top:1256;height:1;width:330;" filled="f" stroked="t" coordsize="21600,21600" o:gfxdata="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/kqJL4A&#10;AADc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1.25pt" color="#000000" joinstyle="round" endarrow="block"/>
                            <v:imagedata o:title=""/>
                            <o:lock v:ext="edit" aspectratio="f"/>
                          </v:line>
                          <v:line id="直接连接符 367" o:spid="_x0000_s1026" o:spt="20" style="position:absolute;left:0;top:0;height:1251;width:1;" filled="f" stroked="t" coordsize="21600,21600" o:gfxdata="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feJFugAAANw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weight="1.25pt" color="#000000" joinstyle="round"/>
                            <v:imagedata o:title=""/>
                            <o:lock v:ext="edit" aspectratio="f"/>
                          </v:line>
                        </v:group>
                        <v:line id="直接连接符 369" o:spid="_x0000_s1026" o:spt="20" style="position:absolute;left:0;top:609;height:1;width:495;" filled="f" stroked="t" coordsize="21600,21600" o:gfxdata="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OJ2N7gAAADcAAAA&#10;DwAAAAAAAAABACAAAAAiAAAAZHJzL2Rvd25yZXYueG1sUEsBAhQAFAAAAAgAh07iQDMvBZ47AAAA&#10;OQAAABAAAAAAAAAAAQAgAAAABwEAAGRycy9zaGFwZXhtbC54bWxQSwUGAAAAAAYABgBbAQAAsQMA&#10;AAAA&#10;">
                          <v:fill on="f" focussize="0,0"/>
                          <v:stroke weight="1.25pt" color="#000000" joinstyle="round"/>
                          <v:imagedata o:title=""/>
                          <o:lock v:ext="edit" aspectratio="f"/>
                        </v:line>
                      </v:group>
                      <v:line id="直接连接符 161" o:spid="_x0000_s1026" o:spt="20" style="position:absolute;left:6582;top:485504;height:1;width:2203;" filled="f" stroked="t" coordsize="21600,21600" o:gfxdata="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Zr5W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.25pt" color="#000000" joinstyle="round" endarrow="block"/>
                        <v:imagedata o:title=""/>
                        <o:lock v:ext="edit" aspectratio="f"/>
                      </v:line>
                      <v:group id="组合 381" o:spid="_x0000_s1026" o:spt="203" style="position:absolute;left:6770;top:483922;height:725;width:546;" coordsize="480,690" o:gfxdata="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ZmUxMAAAADdAAAADwAAAAAAAAABACAAAAAiAAAAZHJzL2Rvd25yZXYu&#10;eG1sUEsBAhQAFAAAAAgAh07iQDMvBZ47AAAAOQAAABUAAAAAAAAAAQAgAAAADwEAAGRycy9ncm91&#10;cHNoYXBleG1sLnhtbFBLBQYAAAAABgAGAGABAADMAwAAAAA=&#10;">
                        <o:lock v:ext="edit" aspectratio="f"/>
                        <v:line id="直接连接符 379" o:spid="_x0000_s1026" o:spt="20" style="position:absolute;left:0;top:360;height:1;width:480;" filled="f" stroked="t" coordsize="21600,21600" o:gfxdata="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3tBUX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1.25pt" color="#000000" joinstyle="round"/>
                          <v:imagedata o:title=""/>
                          <o:lock v:ext="edit" aspectratio="f"/>
                        </v:line>
                        <v:line id="直接连接符 380" o:spid="_x0000_s1026" o:spt="20" style="position:absolute;left:225;top:0;height:690;width:1;" filled="f" stroked="t" coordsize="21600,21600" o:gfxdata="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ZotgugAAANwA&#10;AAAPAAAAAAAAAAEAIAAAACIAAABkcnMvZG93bnJldi54bWxQSwECFAAUAAAACACHTuJAMy8FnjsA&#10;AAA5AAAAEAAAAAAAAAABACAAAAAJAQAAZHJzL3NoYXBleG1sLnhtbFBLBQYAAAAABgAGAFsBAACz&#10;AwAAAAA=&#10;">
                          <v:fill on="f" focussize="0,0"/>
                          <v:stroke weight="1.25pt" color="#000000" joinstyle="round"/>
                          <v:imagedata o:title=""/>
                          <o:lock v:ext="edit" aspectratio="f"/>
                        </v:line>
                      </v:group>
                      <v:shape id="文本框 223" o:spid="_x0000_s1026" o:spt="202" type="#_x0000_t202" style="position:absolute;left:7570;top:483843;height:949;width:1358;" fillcolor="#FCD9BC" filled="t" stroked="f" coordsize="21600,21600" o:gfxdata="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KTdc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  <v:textbox inset="7.19992125984252pt,3.59992125984252pt,7.19992125984252pt,3.59992125984252pt">
                          <w:txbxContent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高压</w:t>
                              </w:r>
                            </w:p>
                            <w:p>
                              <w:pPr>
                                <w:ind w:left="0" w:leftChars="0" w:firstLine="0" w:firstLineChars="0"/>
                                <w:jc w:val="center"/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冲洗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3、道路清扫作业标准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3.1 保洁员统一穿反光工作服，着装整洁，胸配工作牌，作业时做到文明作业、不漏扫、甩扫，控制扬尘，避免妨碍行人；注意来往行人和车辆，做到安全作业和规范作业。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3.2 清扫保洁作业至两边建筑物基石，道路岔口清扫向外延5米。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3.3 雨天作业，须穿着有反光条的雨衣。如遇大雨先将窨井盖表面污物扫净，把路段积水推入窨井，停雨后，把水推净后方可下班。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3.4 雨过天睛后，用扫把把道路积水部位积水推净：泥土、沙石等杂物，扫入畚斗内，然后倒入保洁车内清运干净。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3.5 遇雪天，雪后及时清除路牙，清除的冰雪有序堆放在向阳处，清扫的积雪有绿地的撒入绿地，没有绿地的倒入污水井或工地、空地。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3.6 对有污迹的路面和场地，使用冲洗车高压清洗。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3.7 对地面上小广告乱涂、乱贴进行擦洗和清理。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3.8 配备垃圾收集车上门收集垃圾服务，有效降低沿街住户、商铺将垃圾直接倒在路面上，影响道路洁净。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3.9 对发现的偷倒建筑垃圾，及时上报，及时处理。对道路“抛、洒、滴、漏”现象，我公司将组织巡查车辆，做到及时发现及时上报，及时解决。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3825875</wp:posOffset>
                  </wp:positionH>
                  <wp:positionV relativeFrom="paragraph">
                    <wp:posOffset>130810</wp:posOffset>
                  </wp:positionV>
                  <wp:extent cx="2486660" cy="1757045"/>
                  <wp:effectExtent l="0" t="0" r="2540" b="8255"/>
                  <wp:wrapNone/>
                  <wp:docPr id="507" name="Picture 56" descr="巡环保洁流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56" descr="巡环保洁流程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71625" t="7743" r="2221" b="178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60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236470" cy="1628140"/>
                  <wp:effectExtent l="0" t="0" r="11430" b="10160"/>
                  <wp:docPr id="480" name="Picture 28" descr="普扫流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Picture 28" descr="普扫流程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470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591945" cy="1891030"/>
                  <wp:effectExtent l="0" t="0" r="8255" b="1270"/>
                  <wp:docPr id="47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945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br w:type="page"/>
            </w:r>
          </w:p>
          <w:p>
            <w:pPr>
              <w:bidi w:val="0"/>
              <w:ind w:left="0" w:leftChars="0" w:firstLine="420" w:firstLineChars="20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每日工作流程图                    日常规范工作            巡回保洁工作图与保洁效果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（三）绿化保洁和养护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绿化带既是道路中亮丽的风景线。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1、绿化带保洁作业标准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1.1 用钳夹仔细清除绿化带中的瓜皮纸屑、烟头、白色垃圾、枯枝败叶等垃圾；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1.2 对烟头、棉签、小石子、纸屑等不方便用扫把的小杂物，用钳夹捡入拉圾斗内，然后集中倒入垃圾车；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1.3 仔细清扫绿篱下的枯枝以及落叶等，不损坏绿篱。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2、绿化树木的修剪操作规程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2.1整形修剪的原则和方法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“修剪”，是指对植株的某些器官，如茎、枝、叶、花、果、芽、根等部分进行剪截或删除的措施。“整形”，是指对植株施行一定的修剪措施而形成某种树体结构形态而言。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修剪时，切口都必须靠节，剪口应在剪口芽的反侧呈45度倾斜；剪口要平整，应涂抹园林用的防腐剂。对过于粗壮的大枝应采取分段截枝法，防扯裂，操作时必须保证安全。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2.2、乔木的正确修剪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1）乔木特点：乔木种植初期形状和阔度都适合植物的生长要求。但随着时间转变，有些植物过高过大，树冠连在一起，使下面的花草植物得不到充分的光照，包括绿地草坪严重缺光，造成花草分化不良。缺少光照起不到消杀作用，病虫害发生严重，在管理上带来很大的难度。这时就需要对树冠进行修枝透光，才能有益下边花草的生长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（2）修剪方式：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首先观察树冠形状，怎样剪才能达到透光效果，及保持树冠美观，又能达到剪枝引光的目的。待确定好需要修剪的枝条后，最好用高枝剪站在梯子上操作。便于观察修剪后的效果。修剪时先剪除内生枝、枯枝、病枝最后修枝定型。修剪程度：大型乔木一般适合于重剪，重剪一般分为： ① 轻截：剪除当年生枝条1/5-1/4 ② 中截：剪除一年生枝条长度的1/3-1/2 ③ 重截：剪除一年生枝长的3/4-2/3 ，休眠期修剪以整形为主，可稍重剪；生长期修剪以调整树势为主，宜轻剪。有伤流的树种应在夏、秋两季修剪。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　2.3、灌木的正确修剪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（1）、灌木特点： 一般灌木都是以组合形式栽植花坛、花境、花球，如果不定期进行修剪，就变得杂乱无章。灌木修剪应使枝叶茂繁，分布匀称；花灌木修剪，要有利于促进短枝和花芽形成，修剪应遵循“先上后下，先内后外，去弱留强，去老留新”的原则进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（2）、修剪方式：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〈1〉自然式：各种树木都有一定的树型，保持植物原有的生长形状，能体现园林的自然美和特色，称为自然美。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〈2〉人工式：按照设计的形状，将树冠剪成组合式、多层式、悬崖式、螺旋式、球形式、半球式、倒半球式、单干式，双干式、曲干式及各种禽、亭、绿篱等。在植物自然生长的基础上加入人工造形，形成一种园林艺术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2.4、落叶树木的正确修剪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（1）、修剪时间及方式：一般在休眠期修剪，这段时间中树木生长停滞，树体内大部分养分回归到根部，修剪后营养损失小，且伤口上不易被细菌感染，有利于树木的春季发芽生长。</w:t>
            </w: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= 1 \* GB3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Fonts w:hint="eastAsia"/>
                <w:lang w:val="en-US" w:eastAsia="zh-CN"/>
              </w:rPr>
              <w:t>①</w:t>
            </w:r>
            <w:r>
              <w:rPr>
                <w:rFonts w:hint="eastAsia"/>
                <w:lang w:val="en-US" w:eastAsia="zh-CN"/>
              </w:rPr>
              <w:fldChar w:fldCharType="end"/>
            </w:r>
            <w:r>
              <w:rPr>
                <w:rFonts w:hint="eastAsia"/>
                <w:lang w:val="en-US" w:eastAsia="zh-CN"/>
              </w:rPr>
              <w:t>轻截：剪除当年生枝条1/5—1/4。</w:t>
            </w: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= 2 \* GB3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Fonts w:hint="eastAsia"/>
                <w:lang w:val="en-US" w:eastAsia="zh-CN"/>
              </w:rPr>
              <w:t>②</w:t>
            </w:r>
            <w:r>
              <w:rPr>
                <w:rFonts w:hint="eastAsia"/>
                <w:lang w:val="en-US" w:eastAsia="zh-CN"/>
              </w:rPr>
              <w:fldChar w:fldCharType="end"/>
            </w:r>
            <w:r>
              <w:rPr>
                <w:rFonts w:hint="eastAsia"/>
                <w:lang w:val="en-US" w:eastAsia="zh-CN"/>
              </w:rPr>
              <w:t>中截：剪除一年生枝条长度的1/3—2/3。</w:t>
            </w: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= 3 \* GB3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Fonts w:hint="eastAsia"/>
                <w:lang w:val="en-US" w:eastAsia="zh-CN"/>
              </w:rPr>
              <w:t>③</w:t>
            </w:r>
            <w:r>
              <w:rPr>
                <w:rFonts w:hint="eastAsia"/>
                <w:lang w:val="en-US" w:eastAsia="zh-CN"/>
              </w:rPr>
              <w:fldChar w:fldCharType="end"/>
            </w:r>
            <w:r>
              <w:rPr>
                <w:rFonts w:hint="eastAsia"/>
                <w:lang w:val="en-US" w:eastAsia="zh-CN"/>
              </w:rPr>
              <w:t>重截：剪除一年生枝条长度的3/4—2/3。</w:t>
            </w: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= 4 \* GB3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Fonts w:hint="eastAsia"/>
                <w:lang w:val="en-US" w:eastAsia="zh-CN"/>
              </w:rPr>
              <w:t>④</w:t>
            </w:r>
            <w:r>
              <w:rPr>
                <w:rFonts w:hint="eastAsia"/>
                <w:lang w:val="en-US" w:eastAsia="zh-CN"/>
              </w:rPr>
              <w:fldChar w:fldCharType="end"/>
            </w:r>
            <w:r>
              <w:rPr>
                <w:rFonts w:hint="eastAsia"/>
                <w:lang w:val="en-US" w:eastAsia="zh-CN"/>
              </w:rPr>
              <w:t>轻修剪又称为疏（适用于小灌木）。</w:t>
            </w:r>
            <w:r>
              <w:rPr>
                <w:rFonts w:hint="eastAsia"/>
                <w:lang w:val="en-US" w:eastAsia="zh-CN"/>
              </w:rPr>
              <w:fldChar w:fldCharType="begin"/>
            </w:r>
            <w:r>
              <w:rPr>
                <w:rFonts w:hint="eastAsia"/>
                <w:lang w:val="en-US" w:eastAsia="zh-CN"/>
              </w:rPr>
              <w:instrText xml:space="preserve"> = 5 \* GB3 </w:instrText>
            </w:r>
            <w:r>
              <w:rPr>
                <w:rFonts w:hint="eastAsia"/>
                <w:lang w:val="en-US" w:eastAsia="zh-CN"/>
              </w:rPr>
              <w:fldChar w:fldCharType="separate"/>
            </w:r>
            <w:r>
              <w:rPr>
                <w:rFonts w:hint="eastAsia"/>
                <w:lang w:val="en-US" w:eastAsia="zh-CN"/>
              </w:rPr>
              <w:t>⑤</w:t>
            </w:r>
            <w:r>
              <w:rPr>
                <w:rFonts w:hint="eastAsia"/>
                <w:lang w:val="en-US" w:eastAsia="zh-CN"/>
              </w:rPr>
              <w:fldChar w:fldCharType="end"/>
            </w:r>
            <w:r>
              <w:rPr>
                <w:rFonts w:hint="eastAsia"/>
                <w:lang w:val="en-US" w:eastAsia="zh-CN"/>
              </w:rPr>
              <w:t>轻疏：用剪刀剪除当年生全部枝条的10%。⑥中疏：用剪刀剪除当年生全部枝条的10%--20%。⑦重疏：用剪刀剪除当年生全部枝条的20%以上。 5、标准：植物修剪整齐，花坛美观。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日常绿化带保洁/绿化修剪工作图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drawing>
                <wp:inline distT="0" distB="0" distL="114300" distR="114300">
                  <wp:extent cx="1704975" cy="1565910"/>
                  <wp:effectExtent l="0" t="0" r="9525" b="8890"/>
                  <wp:docPr id="511" name="图片 4" descr="IMG_20160420_092200dx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图片 4" descr="IMG_20160420_092200dxs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56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704975" cy="1552575"/>
                  <wp:effectExtent l="0" t="0" r="9525" b="9525"/>
                  <wp:docPr id="512" name="Picture 219" descr="绿化带捡垃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Picture 219" descr="绿化带捡垃圾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绿化修剪工作图              绿化带保洁工作图</w:t>
            </w:r>
            <w:r>
              <w:rPr>
                <w:rFonts w:hint="eastAsia"/>
                <w:lang w:val="en-US" w:eastAsia="zh-CN"/>
              </w:rPr>
              <w:br w:type="page"/>
            </w:r>
          </w:p>
          <w:p>
            <w:pPr>
              <w:bidi w:val="0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（四）河道保洁</w:t>
            </w:r>
          </w:p>
          <w:p>
            <w:pPr>
              <w:bidi w:val="0"/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河道池塘保洁方法：经现场勘察，朱家坛村河道保洁管理基础较为不错。河道（沟渠）垃圾清理：水面无水植物和漂浮物，无死猪、羊、鸡、鸭、狗、猫等，无禽畜粪便直排，河（渠）道畅通，无乱占河（渠）面、无乱填乱挖、无障碍物，不得规程焚烧。实现河面无漂浮物、河中无障碍物、河岸无垃圾的“三无”目标。</w:t>
            </w:r>
          </w:p>
          <w:p>
            <w:pPr>
              <w:spacing w:line="280" w:lineRule="exact"/>
              <w:ind w:firstLine="48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现场查看项目名称：新塘街道朱家坛村环境卫生保洁采购项目；场所范围：新塘街道朱家坛村</w:t>
            </w:r>
          </w:p>
          <w:p>
            <w:pPr>
              <w:pStyle w:val="5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保洁员统一穿反光工作服，着装整洁，胸配工作牌，作业时做到文明作业、不漏扫、甩扫，控制扬尘，避免妨碍行人；注意来往行人和车辆，做到安全作业和规范作业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5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3900170</wp:posOffset>
                  </wp:positionH>
                  <wp:positionV relativeFrom="paragraph">
                    <wp:posOffset>46355</wp:posOffset>
                  </wp:positionV>
                  <wp:extent cx="1829435" cy="1382395"/>
                  <wp:effectExtent l="0" t="0" r="12065" b="1905"/>
                  <wp:wrapTight wrapText="bothSides">
                    <wp:wrapPolygon>
                      <wp:start x="0" y="0"/>
                      <wp:lineTo x="0" y="21431"/>
                      <wp:lineTo x="21443" y="21431"/>
                      <wp:lineTo x="21443" y="0"/>
                      <wp:lineTo x="0" y="0"/>
                    </wp:wrapPolygon>
                  </wp:wrapTight>
                  <wp:docPr id="24" name="图片 24" descr="22f48ac0d3b2cf726d387dd58d927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22f48ac0d3b2cf726d387dd58d9270b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r="16250" b="15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43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1936750</wp:posOffset>
                  </wp:positionH>
                  <wp:positionV relativeFrom="paragraph">
                    <wp:posOffset>147320</wp:posOffset>
                  </wp:positionV>
                  <wp:extent cx="1858010" cy="1393825"/>
                  <wp:effectExtent l="0" t="0" r="8890" b="3175"/>
                  <wp:wrapTight wrapText="bothSides">
                    <wp:wrapPolygon>
                      <wp:start x="0" y="0"/>
                      <wp:lineTo x="0" y="21452"/>
                      <wp:lineTo x="21408" y="21452"/>
                      <wp:lineTo x="21408" y="0"/>
                      <wp:lineTo x="0" y="0"/>
                    </wp:wrapPolygon>
                  </wp:wrapTight>
                  <wp:docPr id="23" name="图片 23" descr="9792b55086c2ba5d6113d525d35f74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9792b55086c2ba5d6113d525d35f74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0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117475</wp:posOffset>
                  </wp:positionV>
                  <wp:extent cx="1911985" cy="1435100"/>
                  <wp:effectExtent l="0" t="0" r="5715" b="0"/>
                  <wp:wrapTight wrapText="bothSides">
                    <wp:wrapPolygon>
                      <wp:start x="0" y="0"/>
                      <wp:lineTo x="0" y="21409"/>
                      <wp:lineTo x="21521" y="21409"/>
                      <wp:lineTo x="21521" y="0"/>
                      <wp:lineTo x="0" y="0"/>
                    </wp:wrapPolygon>
                  </wp:wrapTight>
                  <wp:docPr id="22" name="图片 22" descr="5d4270a5e30eecec73175add714ae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5d4270a5e30eecec73175add714ae2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5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5"/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pStyle w:val="5"/>
              <w:rPr>
                <w:rFonts w:hint="default"/>
                <w:lang w:val="en-US" w:eastAsia="zh-CN"/>
              </w:rPr>
            </w:pP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产品标识和可追朔性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8.5.2 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1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公司物品分</w:t>
            </w:r>
            <w:r>
              <w:rPr>
                <w:rFonts w:hint="eastAsia"/>
                <w:color w:val="000000"/>
                <w:szCs w:val="21"/>
              </w:rPr>
              <w:t>金属类、纸类、塑料类、纺织类、玻璃类和其他类</w:t>
            </w:r>
            <w:r>
              <w:rPr>
                <w:rFonts w:hint="eastAsia" w:ascii="宋体" w:hAnsi="宋体" w:cs="宋体"/>
                <w:szCs w:val="21"/>
              </w:rPr>
              <w:t>六类进行标识，在智能管理系统中，回收端有订单号唯一标识，可追朔到社区。分拣有流水号唯一标识，系统中有品类、重量等可追朔民信息。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顾客或外部供方的财产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8.5.3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顾客或外部供方的财产包括：资质证明文件、银行账号、联系方式、经营地址及档案资料等信息，由部门专门人员负责管理，分类登记放置。未发生损坏丢失等现象。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产品防护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8.5.4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8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公司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完成垃圾分类后</w:t>
            </w:r>
            <w:r>
              <w:rPr>
                <w:rFonts w:hint="eastAsia" w:ascii="宋体" w:hAnsi="宋体" w:cs="宋体"/>
                <w:szCs w:val="21"/>
              </w:rPr>
              <w:t>，按品类分别存放，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不可回收利用的垃圾由环卫直接运走</w:t>
            </w:r>
            <w:r>
              <w:rPr>
                <w:rFonts w:hint="eastAsia" w:ascii="宋体" w:hAnsi="宋体" w:cs="宋体"/>
                <w:szCs w:val="21"/>
              </w:rPr>
              <w:t>，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可回收利用的由公司内部</w:t>
            </w:r>
            <w:r>
              <w:rPr>
                <w:rFonts w:hint="eastAsia" w:ascii="宋体" w:hAnsi="宋体" w:cs="宋体"/>
                <w:szCs w:val="21"/>
              </w:rPr>
              <w:t>装车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运回公司分拣点，处理保存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  <w:p>
            <w:pPr>
              <w:spacing w:line="280" w:lineRule="exact"/>
              <w:ind w:firstLine="48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产品防护基本有序。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交付后的活动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8.5.5 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20" w:firstLineChars="200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val="en-US" w:eastAsia="zh-CN"/>
              </w:rPr>
              <w:t>针对垃圾分类的现场员工</w:t>
            </w:r>
            <w:r>
              <w:rPr>
                <w:rFonts w:hint="eastAsia"/>
                <w:color w:val="000000"/>
                <w:szCs w:val="21"/>
              </w:rPr>
              <w:t>进行培训，内容涉及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积分</w:t>
            </w:r>
            <w:r>
              <w:rPr>
                <w:rFonts w:hint="eastAsia"/>
                <w:color w:val="000000"/>
                <w:szCs w:val="21"/>
              </w:rPr>
              <w:t>结算、</w:t>
            </w:r>
            <w:r>
              <w:rPr>
                <w:rFonts w:hint="eastAsia"/>
                <w:color w:val="000000"/>
                <w:szCs w:val="21"/>
                <w:lang w:val="en-US" w:eastAsia="zh-CN"/>
              </w:rPr>
              <w:t>指导试用社保</w:t>
            </w:r>
            <w:r>
              <w:rPr>
                <w:rFonts w:hint="eastAsia"/>
                <w:color w:val="000000"/>
                <w:szCs w:val="21"/>
              </w:rPr>
              <w:t>、投诉等。如客户在使用过程中出现问题，先通过电话进行解决，如远程无法解决，派专人到客户现场实地解决。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生产和服务提供的更改控制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QMS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8.5.6</w:t>
            </w:r>
          </w:p>
        </w:tc>
        <w:tc>
          <w:tcPr>
            <w:tcW w:w="10004" w:type="dxa"/>
          </w:tcPr>
          <w:p>
            <w:pPr>
              <w:spacing w:line="280" w:lineRule="exact"/>
              <w:ind w:firstLine="480"/>
              <w:rPr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暂无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垃圾分类</w:t>
            </w:r>
            <w:r>
              <w:rPr>
                <w:rFonts w:hint="eastAsia" w:ascii="宋体" w:hAnsi="宋体" w:cs="宋体"/>
                <w:szCs w:val="21"/>
              </w:rPr>
              <w:t>服务更改。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2160" w:type="dxa"/>
            <w:vAlign w:val="top"/>
          </w:tcPr>
          <w:p>
            <w:pPr>
              <w:spacing w:line="280" w:lineRule="exac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组织的环境因素、危险源辨识和职业安全风险评价</w:t>
            </w:r>
          </w:p>
        </w:tc>
        <w:tc>
          <w:tcPr>
            <w:tcW w:w="960" w:type="dxa"/>
            <w:vAlign w:val="top"/>
          </w:tcPr>
          <w:p>
            <w:pPr>
              <w:spacing w:line="280" w:lineRule="exact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EO：6.1.2</w:t>
            </w:r>
          </w:p>
        </w:tc>
        <w:tc>
          <w:tcPr>
            <w:tcW w:w="10004" w:type="dxa"/>
            <w:vAlign w:val="center"/>
          </w:tcPr>
          <w:p>
            <w:pPr>
              <w:spacing w:line="280" w:lineRule="exact"/>
              <w:ind w:firstLine="480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组织根据手册第6.1.2条款、《环境因素识别与评价控制程序》要求，由综合部负责指导各部门环境因素的调查、评价、汇总、登记、审定及更新，各部门负责组织实施，综合部负责汇总整理。</w:t>
            </w:r>
          </w:p>
          <w:p>
            <w:pPr>
              <w:spacing w:line="280" w:lineRule="exact"/>
              <w:ind w:firstLine="480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查看组织《环境因素识别和评价记录表》，组织在办公区、服务现场等场所，按照活动过程调查、识别和确定了环境因素及其环境影响，对环境因素的正常、异常、紧急状态进行评价，对应责任部门明确，有相应的保存期限、责任人和制定日期，基本满足环境因素识别、确定和保持要求。</w:t>
            </w:r>
          </w:p>
          <w:p>
            <w:pPr>
              <w:spacing w:line="280" w:lineRule="exact"/>
              <w:ind w:firstLine="480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组织按照《环境因素识别与评价控制程序》准则确定了重要环境因素，抽查组织《重要环境因素清单》内容如下：</w:t>
            </w:r>
          </w:p>
          <w:tbl>
            <w:tblPr>
              <w:tblStyle w:val="11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334"/>
              <w:gridCol w:w="2047"/>
              <w:gridCol w:w="1545"/>
              <w:gridCol w:w="389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4" w:hRule="atLeast"/>
              </w:trPr>
              <w:tc>
                <w:tcPr>
                  <w:tcW w:w="1334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环境因素</w:t>
                  </w:r>
                </w:p>
              </w:tc>
              <w:tc>
                <w:tcPr>
                  <w:tcW w:w="2047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活动、产品或服务</w:t>
                  </w:r>
                </w:p>
              </w:tc>
              <w:tc>
                <w:tcPr>
                  <w:tcW w:w="1545" w:type="dxa"/>
                  <w:noWrap w:val="0"/>
                  <w:vAlign w:val="center"/>
                </w:tcPr>
                <w:p>
                  <w:pPr>
                    <w:spacing w:line="280" w:lineRule="exact"/>
                    <w:ind w:firstLine="480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环境影响</w:t>
                  </w:r>
                </w:p>
              </w:tc>
              <w:tc>
                <w:tcPr>
                  <w:tcW w:w="3894" w:type="dxa"/>
                  <w:noWrap w:val="0"/>
                  <w:vAlign w:val="center"/>
                </w:tcPr>
                <w:p>
                  <w:pPr>
                    <w:spacing w:line="280" w:lineRule="exact"/>
                    <w:ind w:firstLine="480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控  制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1334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固废排放</w:t>
                  </w:r>
                </w:p>
              </w:tc>
              <w:tc>
                <w:tcPr>
                  <w:tcW w:w="2047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经营办公、再生资源回收服务</w:t>
                  </w:r>
                </w:p>
              </w:tc>
              <w:tc>
                <w:tcPr>
                  <w:tcW w:w="1545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固废处理</w:t>
                  </w:r>
                </w:p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污染土壤</w:t>
                  </w:r>
                </w:p>
              </w:tc>
              <w:tc>
                <w:tcPr>
                  <w:tcW w:w="3894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①目标、指标及管理方案</w:t>
                  </w:r>
                </w:p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②《环境管理文件》：废弃物管理规定、有害物质管理规定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5" w:hRule="atLeast"/>
              </w:trPr>
              <w:tc>
                <w:tcPr>
                  <w:tcW w:w="1334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潜在火灾发生</w:t>
                  </w:r>
                </w:p>
              </w:tc>
              <w:tc>
                <w:tcPr>
                  <w:tcW w:w="2047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公司办公、服务提供</w:t>
                  </w:r>
                </w:p>
              </w:tc>
              <w:tc>
                <w:tcPr>
                  <w:tcW w:w="1545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火灾污染土壤、水体、大气</w:t>
                  </w:r>
                </w:p>
              </w:tc>
              <w:tc>
                <w:tcPr>
                  <w:tcW w:w="3894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①目标、指标及管理方案</w:t>
                  </w:r>
                </w:p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②应急预案</w:t>
                  </w:r>
                </w:p>
                <w:p>
                  <w:pPr>
                    <w:spacing w:line="280" w:lineRule="exact"/>
                    <w:ind w:firstLine="480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83" w:hRule="atLeast"/>
              </w:trPr>
              <w:tc>
                <w:tcPr>
                  <w:tcW w:w="1334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default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水电的消耗</w:t>
                  </w:r>
                </w:p>
              </w:tc>
              <w:tc>
                <w:tcPr>
                  <w:tcW w:w="2047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公司办公、服务提供</w:t>
                  </w:r>
                </w:p>
              </w:tc>
              <w:tc>
                <w:tcPr>
                  <w:tcW w:w="1545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能源的消耗</w:t>
                  </w:r>
                </w:p>
              </w:tc>
              <w:tc>
                <w:tcPr>
                  <w:tcW w:w="3894" w:type="dxa"/>
                  <w:noWrap w:val="0"/>
                  <w:vAlign w:val="center"/>
                </w:tcPr>
                <w:p>
                  <w:pPr>
                    <w:spacing w:line="280" w:lineRule="exact"/>
                    <w:ind w:firstLine="480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①目标、指标及管理方案</w:t>
                  </w:r>
                </w:p>
                <w:p>
                  <w:pPr>
                    <w:spacing w:line="280" w:lineRule="exact"/>
                    <w:ind w:firstLine="480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②《能源管理规定》：</w:t>
                  </w:r>
                </w:p>
              </w:tc>
            </w:tr>
          </w:tbl>
          <w:p>
            <w:pPr>
              <w:spacing w:line="280" w:lineRule="exact"/>
              <w:ind w:firstLine="480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重要环境因素识别、评价与实际吻合，控制措施基本能够满足控制要求。</w:t>
            </w:r>
          </w:p>
          <w:p>
            <w:pPr>
              <w:spacing w:line="280" w:lineRule="exact"/>
              <w:ind w:firstLine="480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组织根据手册6.1.2条款、《</w:t>
            </w:r>
            <w:r>
              <w:rPr>
                <w:rFonts w:ascii="宋体" w:hAnsi="宋体" w:eastAsia="宋体"/>
                <w:sz w:val="21"/>
              </w:rPr>
              <w:t>危险源识别和风险评价控制程序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》要求，由综合部负责编制《危险源辩识风险评价表》，指导各职能部门（基层单位）开展危险、有害因素风险识别、评价，负责各职能部门（基层单位）风险评价记录的审查与控制效果有效性验证。组织有建立、更新《重大危险源清单清单》。内容如下：</w:t>
            </w:r>
          </w:p>
          <w:tbl>
            <w:tblPr>
              <w:tblStyle w:val="11"/>
              <w:tblW w:w="8751" w:type="dxa"/>
              <w:jc w:val="center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993"/>
              <w:gridCol w:w="1700"/>
              <w:gridCol w:w="1733"/>
              <w:gridCol w:w="2325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22" w:hRule="atLeast"/>
                <w:jc w:val="center"/>
              </w:trPr>
              <w:tc>
                <w:tcPr>
                  <w:tcW w:w="2993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活动、产品或服务中的危险源</w:t>
                  </w:r>
                </w:p>
              </w:tc>
              <w:tc>
                <w:tcPr>
                  <w:tcW w:w="1700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产生区域</w:t>
                  </w:r>
                </w:p>
              </w:tc>
              <w:tc>
                <w:tcPr>
                  <w:tcW w:w="1733" w:type="dxa"/>
                  <w:noWrap w:val="0"/>
                  <w:vAlign w:val="center"/>
                </w:tcPr>
                <w:p>
                  <w:pPr>
                    <w:spacing w:line="280" w:lineRule="exact"/>
                    <w:ind w:firstLine="480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风险类型</w:t>
                  </w:r>
                </w:p>
              </w:tc>
              <w:tc>
                <w:tcPr>
                  <w:tcW w:w="2325" w:type="dxa"/>
                  <w:noWrap w:val="0"/>
                  <w:vAlign w:val="center"/>
                </w:tcPr>
                <w:p>
                  <w:pPr>
                    <w:spacing w:line="280" w:lineRule="exact"/>
                    <w:ind w:firstLine="480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控制策划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5" w:hRule="atLeast"/>
                <w:jc w:val="center"/>
              </w:trPr>
              <w:tc>
                <w:tcPr>
                  <w:tcW w:w="2993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潜在交通事故</w:t>
                  </w:r>
                </w:p>
              </w:tc>
              <w:tc>
                <w:tcPr>
                  <w:tcW w:w="1700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default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办公区、服务点</w:t>
                  </w:r>
                </w:p>
              </w:tc>
              <w:tc>
                <w:tcPr>
                  <w:tcW w:w="1733" w:type="dxa"/>
                  <w:noWrap w:val="0"/>
                  <w:vAlign w:val="center"/>
                </w:tcPr>
                <w:p>
                  <w:pPr>
                    <w:spacing w:line="280" w:lineRule="exact"/>
                    <w:ind w:firstLine="480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人身伤害</w:t>
                  </w:r>
                </w:p>
              </w:tc>
              <w:tc>
                <w:tcPr>
                  <w:tcW w:w="2325" w:type="dxa"/>
                  <w:noWrap w:val="0"/>
                  <w:vAlign w:val="center"/>
                </w:tcPr>
                <w:p>
                  <w:pPr>
                    <w:spacing w:line="280" w:lineRule="exact"/>
                    <w:ind w:firstLine="480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方案、运行控制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5" w:hRule="atLeast"/>
                <w:jc w:val="center"/>
              </w:trPr>
              <w:tc>
                <w:tcPr>
                  <w:tcW w:w="2993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default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火灾</w:t>
                  </w:r>
                </w:p>
              </w:tc>
              <w:tc>
                <w:tcPr>
                  <w:tcW w:w="1700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办公区、服务点</w:t>
                  </w:r>
                </w:p>
              </w:tc>
              <w:tc>
                <w:tcPr>
                  <w:tcW w:w="1733" w:type="dxa"/>
                  <w:noWrap w:val="0"/>
                  <w:vAlign w:val="center"/>
                </w:tcPr>
                <w:p>
                  <w:pPr>
                    <w:spacing w:line="280" w:lineRule="exact"/>
                    <w:ind w:firstLine="480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人身伤害</w:t>
                  </w:r>
                </w:p>
              </w:tc>
              <w:tc>
                <w:tcPr>
                  <w:tcW w:w="2325" w:type="dxa"/>
                  <w:noWrap w:val="0"/>
                  <w:vAlign w:val="center"/>
                </w:tcPr>
                <w:p>
                  <w:pPr>
                    <w:spacing w:line="280" w:lineRule="exact"/>
                    <w:ind w:firstLine="480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方案、运行控制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09" w:hRule="atLeast"/>
                <w:jc w:val="center"/>
              </w:trPr>
              <w:tc>
                <w:tcPr>
                  <w:tcW w:w="2993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乱拉电线、电线老化引起触电</w:t>
                  </w:r>
                </w:p>
              </w:tc>
              <w:tc>
                <w:tcPr>
                  <w:tcW w:w="1700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办公区、服务点</w:t>
                  </w:r>
                </w:p>
              </w:tc>
              <w:tc>
                <w:tcPr>
                  <w:tcW w:w="1733" w:type="dxa"/>
                  <w:noWrap w:val="0"/>
                  <w:vAlign w:val="center"/>
                </w:tcPr>
                <w:p>
                  <w:pPr>
                    <w:spacing w:line="280" w:lineRule="exact"/>
                    <w:ind w:firstLine="480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触电</w:t>
                  </w:r>
                </w:p>
              </w:tc>
              <w:tc>
                <w:tcPr>
                  <w:tcW w:w="2325" w:type="dxa"/>
                  <w:noWrap w:val="0"/>
                  <w:vAlign w:val="center"/>
                </w:tcPr>
                <w:p>
                  <w:pPr>
                    <w:spacing w:line="280" w:lineRule="exact"/>
                    <w:ind w:firstLine="480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制度、运行控制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617" w:hRule="atLeast"/>
                <w:jc w:val="center"/>
              </w:trPr>
              <w:tc>
                <w:tcPr>
                  <w:tcW w:w="2993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户外高温作业容易中暑</w:t>
                  </w:r>
                </w:p>
              </w:tc>
              <w:tc>
                <w:tcPr>
                  <w:tcW w:w="1700" w:type="dxa"/>
                  <w:noWrap w:val="0"/>
                  <w:vAlign w:val="center"/>
                </w:tcPr>
                <w:p>
                  <w:pPr>
                    <w:spacing w:line="280" w:lineRule="exact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办公区、服务点</w:t>
                  </w:r>
                </w:p>
              </w:tc>
              <w:tc>
                <w:tcPr>
                  <w:tcW w:w="1733" w:type="dxa"/>
                  <w:noWrap w:val="0"/>
                  <w:vAlign w:val="center"/>
                </w:tcPr>
                <w:p>
                  <w:pPr>
                    <w:spacing w:line="280" w:lineRule="exact"/>
                    <w:ind w:firstLine="480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中暑</w:t>
                  </w:r>
                </w:p>
              </w:tc>
              <w:tc>
                <w:tcPr>
                  <w:tcW w:w="2325" w:type="dxa"/>
                  <w:noWrap w:val="0"/>
                  <w:vAlign w:val="center"/>
                </w:tcPr>
                <w:p>
                  <w:pPr>
                    <w:spacing w:line="280" w:lineRule="exact"/>
                    <w:ind w:firstLine="480"/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szCs w:val="21"/>
                      <w:lang w:val="en-US" w:eastAsia="zh-CN"/>
                    </w:rPr>
                    <w:t>制度、运行控制</w:t>
                  </w:r>
                </w:p>
              </w:tc>
            </w:tr>
          </w:tbl>
          <w:p>
            <w:pPr>
              <w:spacing w:line="280" w:lineRule="exact"/>
              <w:ind w:firstLine="480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组织的职业健康安全风险与危险源辨识清单判定的内容一致，综合部负责人在访谈时介绍，组织会在危险源和风险识别、确定和应对的过程中寻找机遇，包括：1）使工作、工作组织和工作环境适合于工作人员；2）消除危险源和降低职业健康安全风险等，基本与ISO45001和企业手册以及程序文件要求识别的机遇一致，符合要求。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</w:trPr>
        <w:tc>
          <w:tcPr>
            <w:tcW w:w="2160" w:type="dxa"/>
          </w:tcPr>
          <w:p>
            <w:pPr>
              <w:spacing w:line="280" w:lineRule="exact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运行策划和控制</w:t>
            </w:r>
          </w:p>
        </w:tc>
        <w:tc>
          <w:tcPr>
            <w:tcW w:w="960" w:type="dxa"/>
          </w:tcPr>
          <w:p>
            <w:pPr>
              <w:spacing w:line="280" w:lineRule="exact"/>
              <w:ind w:firstLine="480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EO8.1</w:t>
            </w:r>
          </w:p>
        </w:tc>
        <w:tc>
          <w:tcPr>
            <w:tcW w:w="10004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GB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sym w:font="Wingdings 2" w:char="F098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本部门应执行的运行控制文件：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GB" w:eastAsia="zh-CN" w:bidi="ar-SA"/>
              </w:rPr>
              <w:t>《运行控制程序》、《废弃物污染防治控制程序》《应急准备与响应控制程序》、《环境因素识别与评价控制程序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》、《危险源识别和风险评价控制程序》等。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GB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sym w:font="Wingdings 2" w:char="F098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GB" w:eastAsia="zh-CN" w:bidi="ar-SA"/>
              </w:rPr>
              <w:t>运行控制情况：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GB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■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GB" w:eastAsia="zh-CN" w:bidi="ar-SA"/>
              </w:rPr>
              <w:t>办公过程注意节约用电，做到人走灯灭，电脑长时间不用时关机，下班前要关闭电源；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GB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■办公过程使用的电器如：空调、电脑、灯具均符合安全设计要求，使用过程注意安全，预防触电，工作时间平均每天8小时；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GB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■劳保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GB" w:eastAsia="zh-CN" w:bidi="ar-SA"/>
              </w:rPr>
              <w:t>用品按要求由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综合部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GB" w:eastAsia="zh-CN" w:bidi="ar-SA"/>
              </w:rPr>
              <w:t>负责发放，作好记录；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主要劳保用品为：线手套、洗衣粉、胶手套、口罩、耳塞、创口贴 、纱布、线手套、胶手套，记录了发放时间、领用人等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GB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■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GB" w:eastAsia="zh-CN" w:bidi="ar-SA"/>
              </w:rPr>
              <w:t>相关方施加影响：公司能够控制或能够施加影响的相关方有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与企业合作的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GB" w:eastAsia="zh-CN" w:bidi="ar-SA"/>
              </w:rPr>
              <w:t>商户、固体废弃物处理等。提供了“致相关方的公开信”，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并跟部分需要再厂区内活动的相关方签订安全管理协议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GB" w:eastAsia="zh-CN" w:bidi="ar-SA"/>
              </w:rPr>
              <w:t>，将公司关于采购物资、固体废弃物处理等方面环境控制要求发放到了周边商户，督促影响各相关方按照环境管理体系要求对环境施加影响。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■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GB" w:eastAsia="zh-CN" w:bidi="ar-SA"/>
              </w:rPr>
              <w:t>公司办公产生的废硒鼓、废墨盒由供应方公司回收；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■公司为员工缴纳了工伤保险，提供了缴纳保险的证据，现场保洁服务人员由劳务分包公司给与购买意外险，详见提交证据。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■办公区固废；现在分类集中存放，及时处理，防止意外火灾。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■驾驶员要求遵守道路交通安全法，不违章驾车，驾驶证和车辆定期年审，确保行车安全；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■现场查看办公区域配备有符合要求的灭火器等，综合部设备、电器状态良好，无安全隐患。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■摔倒：地面及时清理和清洁；悬挂警示标志；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■中暑：有空调、风扇；有冷饮、凉茶；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■触电：有过流保护器；全公司使用220V的电压；悬挂警示标志；应急救援；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■安全用电：不随便拉电线，不随便使用大功率电器；</w:t>
            </w:r>
          </w:p>
          <w:p>
            <w:pPr>
              <w:rPr>
                <w:rFonts w:hint="default" w:eastAsia="宋体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 xml:space="preserve">■消防：消防栓、灭火器（干粉）；定期检查；及时更换 </w:t>
            </w:r>
          </w:p>
        </w:tc>
        <w:tc>
          <w:tcPr>
            <w:tcW w:w="1585" w:type="dxa"/>
          </w:tcPr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</w:trPr>
        <w:tc>
          <w:tcPr>
            <w:tcW w:w="21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>应急准备和响应</w:t>
            </w:r>
          </w:p>
        </w:tc>
        <w:tc>
          <w:tcPr>
            <w:tcW w:w="960" w:type="dxa"/>
          </w:tcPr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ascii="宋体" w:hAnsi="宋体" w:cs="Arial"/>
                <w:szCs w:val="21"/>
              </w:rPr>
              <w:t>EO</w:t>
            </w:r>
          </w:p>
          <w:p>
            <w:pPr>
              <w:rPr>
                <w:rFonts w:ascii="宋体" w:hAnsi="宋体" w:cs="Arial"/>
                <w:szCs w:val="21"/>
              </w:rPr>
            </w:pPr>
            <w:r>
              <w:rPr>
                <w:rFonts w:hint="eastAsia" w:ascii="宋体" w:hAnsi="宋体" w:cs="Arial"/>
                <w:szCs w:val="21"/>
              </w:rPr>
              <w:t xml:space="preserve">8.2 </w:t>
            </w:r>
          </w:p>
        </w:tc>
        <w:tc>
          <w:tcPr>
            <w:tcW w:w="10004" w:type="dxa"/>
            <w:vAlign w:val="center"/>
          </w:tcPr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编制了《应急准备和响应程序》，查看内容基本符合要求。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策划了应急预案包括触电、火灾等应急预案。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查应急预案评估报告，通过以上评估，公司应急预案的制定基本合理。</w:t>
            </w:r>
          </w:p>
          <w:p>
            <w:pPr>
              <w:pStyle w:val="19"/>
              <w:spacing w:line="280" w:lineRule="exact"/>
              <w:ind w:firstLineChars="0"/>
              <w:rPr>
                <w:rFonts w:hint="default" w:eastAsia="宋体"/>
                <w:b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详见</w:t>
            </w:r>
            <w:r>
              <w:rPr>
                <w:rFonts w:hint="eastAsia" w:ascii="Times New Roman" w:hAnsi="Times New Roman" w:cs="Times New Roman"/>
                <w:kern w:val="2"/>
                <w:sz w:val="21"/>
                <w:szCs w:val="20"/>
                <w:lang w:val="en-US" w:eastAsia="zh-CN" w:bidi="ar-SA"/>
              </w:rPr>
              <w:t>运营部</w:t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审核记录</w:t>
            </w:r>
          </w:p>
        </w:tc>
        <w:tc>
          <w:tcPr>
            <w:tcW w:w="1585" w:type="dxa"/>
          </w:tcPr>
          <w:p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</w:trPr>
        <w:tc>
          <w:tcPr>
            <w:tcW w:w="2160" w:type="dxa"/>
            <w:vAlign w:val="top"/>
          </w:tcPr>
          <w:p>
            <w:pPr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楷体" w:hAnsi="楷体" w:eastAsia="楷体"/>
              </w:rPr>
              <w:t>分析与评价</w:t>
            </w:r>
          </w:p>
        </w:tc>
        <w:tc>
          <w:tcPr>
            <w:tcW w:w="960" w:type="dxa"/>
            <w:vAlign w:val="top"/>
          </w:tcPr>
          <w:p>
            <w:pPr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 w:ascii="楷体" w:hAnsi="楷体" w:eastAsia="楷体"/>
                <w:bCs/>
                <w:lang w:val="en-US" w:eastAsia="zh-CN"/>
              </w:rPr>
              <w:t>QEO</w:t>
            </w:r>
            <w:r>
              <w:rPr>
                <w:rFonts w:hint="eastAsia" w:ascii="楷体" w:hAnsi="楷体" w:eastAsia="楷体"/>
                <w:bCs/>
              </w:rPr>
              <w:t>9.1.</w:t>
            </w:r>
            <w:r>
              <w:rPr>
                <w:rFonts w:hint="eastAsia" w:ascii="楷体" w:hAnsi="楷体" w:eastAsia="楷体"/>
                <w:bCs/>
                <w:lang w:val="en-US" w:eastAsia="zh-CN"/>
              </w:rPr>
              <w:t>1</w:t>
            </w:r>
          </w:p>
        </w:tc>
        <w:tc>
          <w:tcPr>
            <w:tcW w:w="10004" w:type="dxa"/>
            <w:vAlign w:val="top"/>
          </w:tcPr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sym w:font="Wingdings 2" w:char="F098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建立《绩效测量和监视控制程序》《与顾客有关的过程控制程序》、《运行控制程序》对信息进行分析处理。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sym w:font="Wingdings 2" w:char="F098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查通过体系运行所进行监视和测量结果的分析评价：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1、产品的符合性：通过进货检验、服务检验及不合格品的控制达到产品的符合性；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2、顾客满意程度：对客户进行顾客满意度调查，经统计顾客满意度达到96.7%，达到了预期目标；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3、对供应商年度评价，从产品质量、交货期、价格、售后服务等方面进行评价。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4、查目标统计表，均满足策划的要求。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5、针对识别出的风险和机遇采取了相应的措施；优选供应商，拓展服务范围，此项措施正在组织实施中。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6、管理体系改进的需求：通过体系运行，产品的符合性、内审、管评的有效性及企业持续改进，不断完善各项软硬件环境，提高产品质量，满足客户需求</w:t>
            </w:r>
          </w:p>
          <w:p>
            <w:pPr>
              <w:pStyle w:val="19"/>
              <w:spacing w:line="280" w:lineRule="exact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sym w:font="Wingdings 2" w:char="F098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 xml:space="preserve">综上所述，基本符合标准要求。 </w:t>
            </w:r>
          </w:p>
        </w:tc>
        <w:tc>
          <w:tcPr>
            <w:tcW w:w="1585" w:type="dxa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</w:trPr>
        <w:tc>
          <w:tcPr>
            <w:tcW w:w="2160" w:type="dxa"/>
            <w:vAlign w:val="center"/>
          </w:tcPr>
          <w:p>
            <w:pPr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/>
                <w:szCs w:val="21"/>
              </w:rPr>
              <w:t>分析与评价</w:t>
            </w:r>
          </w:p>
        </w:tc>
        <w:tc>
          <w:tcPr>
            <w:tcW w:w="960" w:type="dxa"/>
            <w:vAlign w:val="center"/>
          </w:tcPr>
          <w:p>
            <w:pPr>
              <w:rPr>
                <w:rFonts w:hint="eastAsia" w:ascii="宋体" w:hAnsi="宋体" w:cs="Arial"/>
                <w:szCs w:val="21"/>
              </w:rPr>
            </w:pPr>
            <w:r>
              <w:rPr>
                <w:rFonts w:hint="eastAsia"/>
                <w:szCs w:val="21"/>
              </w:rPr>
              <w:t>9.1.3</w:t>
            </w:r>
          </w:p>
        </w:tc>
        <w:tc>
          <w:tcPr>
            <w:tcW w:w="10004" w:type="dxa"/>
            <w:vAlign w:val="center"/>
          </w:tcPr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sym w:font="Wingdings 2" w:char="F098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查通过体系运行进行监视和测量结果的分析评价：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1、产品的符合性：通过进货检验、工序检验、成品检验及不合格品的控制达到产品的符合性；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2、顾客满意程度：每年对客户进行一次顾客满意度调查，经统计顾客满意度达到96.7%，达到了预期目标；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3、供应商绩效：每月统计供应商交付绩效，从产品质量、交货期、价格、售后服务等方面进行评价。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4、质量管理绩效和有效性：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对员工：每月进行工时定额考核，奖惩分明；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对公司：a.遵章守法，严格执行客户要求，不断满足客户潜在的要求，赢得市场，赢得效益；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b.通过内审、管评，不断改进完善质量管理体系运行；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5、针对识别出的风险和机遇采取了相应的措施；优选供应商，加强质量管理、拓展销售渠道，此项措施正在组织实施中。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6、管理体系改进的需求：通过体系运行，产品的符合性、内审、管评的有效性及企业持续改进，不断完善各项软硬件环境，提高产品质量，满足客户需求。</w:t>
            </w:r>
          </w:p>
          <w:p>
            <w:pPr>
              <w:pStyle w:val="19"/>
              <w:spacing w:line="280" w:lineRule="exact"/>
              <w:ind w:firstLineChars="0"/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sym w:font="Wingdings 2" w:char="F098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0"/>
                <w:lang w:val="en-US" w:eastAsia="zh-CN" w:bidi="ar-SA"/>
              </w:rPr>
              <w:t>综上所述，基本符合标准要求。</w:t>
            </w:r>
          </w:p>
        </w:tc>
        <w:tc>
          <w:tcPr>
            <w:tcW w:w="1585" w:type="dxa"/>
          </w:tcPr>
          <w:p>
            <w:pPr>
              <w:rPr>
                <w:rFonts w:hint="eastAsia"/>
              </w:rPr>
            </w:pPr>
          </w:p>
        </w:tc>
      </w:tr>
    </w:tbl>
    <w:p>
      <w:pPr>
        <w:pStyle w:val="8"/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pgSz w:w="16838" w:h="11906" w:orient="landscape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</w:sdtPr>
    <w:sdtContent>
      <w:sdt>
        <w:sdtPr>
          <w:id w:val="171357217"/>
        </w:sdtPr>
        <w:sdtContent>
          <w:p>
            <w:pPr>
              <w:pStyle w:val="8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7"/>
        <w:rFonts w:hint="default"/>
      </w:rPr>
    </w:pPr>
    <w: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-31750</wp:posOffset>
          </wp:positionV>
          <wp:extent cx="485775" cy="485775"/>
          <wp:effectExtent l="0" t="0" r="9525" b="9525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0" w:name="_GoBack"/>
    <w:bookmarkEnd w:id="0"/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7879080</wp:posOffset>
              </wp:positionH>
              <wp:positionV relativeFrom="paragraph">
                <wp:posOffset>159385</wp:posOffset>
              </wp:positionV>
              <wp:extent cx="1304290" cy="256540"/>
              <wp:effectExtent l="0" t="0" r="3810" b="1016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0429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ISC-B-II-12(05版）</w:t>
                          </w:r>
                        </w:p>
                      </w:txbxContent>
                    </wps:txbx>
                    <wps:bodyPr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620.4pt;margin-top:12.55pt;height:20.2pt;width:102.7pt;z-index:251659264;mso-width-relative:page;mso-height-relative:page;" stroked="f" coordsize="21600,21600" o:gfxdata="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QkH4RNgAAAALAQAADwAAAAAAAAABACAAAAAiAAAAZHJzL2Rvd25yZXYu&#10;eG1sUEsBAhQAFAAAAAgAh07iQL2jKUXCAQAAdwMAAA4AAAAAAAAAAQAgAAAAJwEAAGRycy9lMm9E&#10;b2MueG1sUEsFBgAAAAAGAAYAWQEAAFsFAAAAAA==&#10;">
              <v:path/>
              <v:fill focussize="0,0"/>
              <v:stroke on="f" joinstyle="miter"/>
              <v:imagedata o:title=""/>
              <o:lock v:ext="edit"/>
              <v:textbox>
                <w:txbxContent>
                  <w:p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ISC-B-II-12(05版）</w:t>
                    </w:r>
                  </w:p>
                </w:txbxContent>
              </v:textbox>
            </v:shape>
          </w:pict>
        </mc:Fallback>
      </mc:AlternateContent>
    </w:r>
    <w:r>
      <w:rPr>
        <w:rStyle w:val="17"/>
        <w:rFonts w:hint="default"/>
      </w:rPr>
      <w:t>北京国标联合认证有限公司</w:t>
    </w:r>
    <w:r>
      <w:rPr>
        <w:rStyle w:val="17"/>
        <w:rFonts w:hint="default"/>
      </w:rPr>
      <w:tab/>
    </w:r>
    <w:r>
      <w:rPr>
        <w:rStyle w:val="17"/>
        <w:rFonts w:hint="default"/>
      </w:rPr>
      <w:tab/>
    </w:r>
    <w:r>
      <w:rPr>
        <w:rStyle w:val="17"/>
        <w:rFonts w:hint="default"/>
      </w:rPr>
      <w:tab/>
    </w:r>
  </w:p>
  <w:p>
    <w:pPr>
      <w:pStyle w:val="9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7"/>
        <w:rFonts w:hint="default"/>
        <w:w w:val="90"/>
      </w:rPr>
      <w:t>Beijing International Standard united Certification Co.,Ltd.</w:t>
    </w:r>
  </w:p>
  <w:p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C9F0DB"/>
    <w:multiLevelType w:val="multilevel"/>
    <w:tmpl w:val="BDC9F0DB"/>
    <w:lvl w:ilvl="0" w:tentative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suff w:val="nothing"/>
      <w:lvlText w:val="%1.%2.%3."/>
      <w:lvlJc w:val="left"/>
      <w:pPr>
        <w:ind w:left="-2" w:leftChars="0" w:firstLine="2" w:firstLineChars="0"/>
      </w:pPr>
      <w:rPr>
        <w:rFonts w:hint="default"/>
      </w:rPr>
    </w:lvl>
    <w:lvl w:ilvl="3" w:tentative="0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84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CB2CC7E3"/>
    <w:multiLevelType w:val="singleLevel"/>
    <w:tmpl w:val="CB2CC7E3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E31D7DF1"/>
    <w:multiLevelType w:val="singleLevel"/>
    <w:tmpl w:val="E31D7DF1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6F371304"/>
    <w:multiLevelType w:val="singleLevel"/>
    <w:tmpl w:val="6F371304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c4ZWJiZGY2YjU2MmRhNjg4NDA1NWJhMzhhZTVmYzcifQ=="/>
  </w:docVars>
  <w:rsids>
    <w:rsidRoot w:val="00F22611"/>
    <w:rsid w:val="00057B1C"/>
    <w:rsid w:val="000634E0"/>
    <w:rsid w:val="000671DE"/>
    <w:rsid w:val="000929A8"/>
    <w:rsid w:val="000F2CEF"/>
    <w:rsid w:val="00144AD5"/>
    <w:rsid w:val="00162691"/>
    <w:rsid w:val="00173017"/>
    <w:rsid w:val="001A493E"/>
    <w:rsid w:val="002156FF"/>
    <w:rsid w:val="00263638"/>
    <w:rsid w:val="00295CDC"/>
    <w:rsid w:val="002D28BD"/>
    <w:rsid w:val="002F484C"/>
    <w:rsid w:val="00303693"/>
    <w:rsid w:val="00315297"/>
    <w:rsid w:val="00321960"/>
    <w:rsid w:val="00344AA3"/>
    <w:rsid w:val="00347B79"/>
    <w:rsid w:val="00355ECC"/>
    <w:rsid w:val="0036229B"/>
    <w:rsid w:val="003C1B0D"/>
    <w:rsid w:val="003D7B7D"/>
    <w:rsid w:val="003F33A8"/>
    <w:rsid w:val="003F785A"/>
    <w:rsid w:val="00401666"/>
    <w:rsid w:val="00453741"/>
    <w:rsid w:val="0045409B"/>
    <w:rsid w:val="00485193"/>
    <w:rsid w:val="0049604C"/>
    <w:rsid w:val="004D0690"/>
    <w:rsid w:val="004E797E"/>
    <w:rsid w:val="00507E92"/>
    <w:rsid w:val="00545A63"/>
    <w:rsid w:val="005B20B0"/>
    <w:rsid w:val="005B2D8E"/>
    <w:rsid w:val="005B5F7D"/>
    <w:rsid w:val="005C7DBA"/>
    <w:rsid w:val="00605D58"/>
    <w:rsid w:val="00622AC4"/>
    <w:rsid w:val="00646F9A"/>
    <w:rsid w:val="00655A1D"/>
    <w:rsid w:val="006704CA"/>
    <w:rsid w:val="0069320B"/>
    <w:rsid w:val="006B7275"/>
    <w:rsid w:val="00714C60"/>
    <w:rsid w:val="00793D92"/>
    <w:rsid w:val="007A72C4"/>
    <w:rsid w:val="00870586"/>
    <w:rsid w:val="008A6625"/>
    <w:rsid w:val="008E5568"/>
    <w:rsid w:val="00925A92"/>
    <w:rsid w:val="0098636C"/>
    <w:rsid w:val="00987D09"/>
    <w:rsid w:val="009D1363"/>
    <w:rsid w:val="00A615E8"/>
    <w:rsid w:val="00A92D54"/>
    <w:rsid w:val="00AE4A8E"/>
    <w:rsid w:val="00AF5445"/>
    <w:rsid w:val="00AF7A8A"/>
    <w:rsid w:val="00B36CF3"/>
    <w:rsid w:val="00B97A59"/>
    <w:rsid w:val="00BC5955"/>
    <w:rsid w:val="00C26588"/>
    <w:rsid w:val="00C31913"/>
    <w:rsid w:val="00C44524"/>
    <w:rsid w:val="00C717A2"/>
    <w:rsid w:val="00CC1629"/>
    <w:rsid w:val="00CF0CB6"/>
    <w:rsid w:val="00D37EF8"/>
    <w:rsid w:val="00D619B8"/>
    <w:rsid w:val="00D650DE"/>
    <w:rsid w:val="00D807C9"/>
    <w:rsid w:val="00D814C1"/>
    <w:rsid w:val="00D96149"/>
    <w:rsid w:val="00D97452"/>
    <w:rsid w:val="00DB192F"/>
    <w:rsid w:val="00DD1FE4"/>
    <w:rsid w:val="00DF12DC"/>
    <w:rsid w:val="00EC20CB"/>
    <w:rsid w:val="00ED01B8"/>
    <w:rsid w:val="00F22611"/>
    <w:rsid w:val="00F47546"/>
    <w:rsid w:val="00F5368E"/>
    <w:rsid w:val="00F90642"/>
    <w:rsid w:val="00FC294A"/>
    <w:rsid w:val="0245473F"/>
    <w:rsid w:val="098B5767"/>
    <w:rsid w:val="12273DCE"/>
    <w:rsid w:val="134C37DA"/>
    <w:rsid w:val="15040A7A"/>
    <w:rsid w:val="2126752A"/>
    <w:rsid w:val="217725F9"/>
    <w:rsid w:val="28EB0628"/>
    <w:rsid w:val="2A4745DC"/>
    <w:rsid w:val="2C150D39"/>
    <w:rsid w:val="2E165C2C"/>
    <w:rsid w:val="30D25FC5"/>
    <w:rsid w:val="318E5CBC"/>
    <w:rsid w:val="35053D8D"/>
    <w:rsid w:val="373632FF"/>
    <w:rsid w:val="39C20A18"/>
    <w:rsid w:val="3C772C94"/>
    <w:rsid w:val="3EE75538"/>
    <w:rsid w:val="42255769"/>
    <w:rsid w:val="45D773CD"/>
    <w:rsid w:val="470571F6"/>
    <w:rsid w:val="59087BF4"/>
    <w:rsid w:val="5D670402"/>
    <w:rsid w:val="5FC80941"/>
    <w:rsid w:val="68014A4E"/>
    <w:rsid w:val="6ED66673"/>
    <w:rsid w:val="6EFA72B7"/>
    <w:rsid w:val="70CB336A"/>
    <w:rsid w:val="75D337E7"/>
    <w:rsid w:val="76A04D0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jc w:val="center"/>
      <w:outlineLvl w:val="0"/>
    </w:pPr>
    <w:rPr>
      <w:rFonts w:eastAsia="PMingLiU"/>
      <w:b/>
      <w:bCs/>
      <w:sz w:val="24"/>
      <w:lang w:eastAsia="zh-TW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100" w:beforeLines="100" w:beforeAutospacing="0" w:after="100" w:afterLines="100" w:afterAutospacing="0" w:line="360" w:lineRule="auto"/>
      <w:ind w:left="862" w:firstLine="0" w:firstLineChars="0"/>
      <w:outlineLvl w:val="3"/>
    </w:pPr>
    <w:rPr>
      <w:rFonts w:ascii="宋体" w:hAnsi="宋体" w:eastAsia="宋体" w:cs="宋体"/>
      <w:b/>
      <w:sz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5">
    <w:name w:val="Body Text"/>
    <w:basedOn w:val="1"/>
    <w:next w:val="1"/>
    <w:qFormat/>
    <w:uiPriority w:val="0"/>
    <w:pPr>
      <w:spacing w:after="120" w:afterLines="0" w:afterAutospacing="0"/>
    </w:pPr>
  </w:style>
  <w:style w:type="paragraph" w:styleId="6">
    <w:name w:val="Body Text Indent"/>
    <w:basedOn w:val="1"/>
    <w:qFormat/>
    <w:uiPriority w:val="0"/>
    <w:pPr>
      <w:spacing w:after="120"/>
      <w:ind w:left="420" w:leftChars="200"/>
    </w:pPr>
    <w:rPr>
      <w:rFonts w:ascii="Calibri" w:hAnsi="Calibri" w:eastAsia="宋体" w:cs="Times New Roman"/>
      <w:sz w:val="24"/>
      <w:szCs w:val="24"/>
      <w:lang w:val="en-US" w:eastAsia="zh-CN" w:bidi="ar-SA"/>
    </w:rPr>
  </w:style>
  <w:style w:type="paragraph" w:styleId="7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4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First Indent 2"/>
    <w:basedOn w:val="6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table" w:styleId="12">
    <w:name w:val="Table Grid"/>
    <w:basedOn w:val="11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页眉 字符"/>
    <w:basedOn w:val="13"/>
    <w:link w:val="9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5">
    <w:name w:val="页脚 字符"/>
    <w:basedOn w:val="13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批注框文本 字符"/>
    <w:basedOn w:val="13"/>
    <w:link w:val="7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8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  <w:style w:type="paragraph" w:customStyle="1" w:styleId="19">
    <w:name w:val="_Style 2"/>
    <w:basedOn w:val="1"/>
    <w:qFormat/>
    <w:uiPriority w:val="34"/>
    <w:pPr>
      <w:ind w:firstLine="420" w:firstLineChars="200"/>
    </w:pPr>
    <w:rPr>
      <w:rFonts w:ascii="Calibri" w:hAnsi="Calibri"/>
      <w:sz w:val="24"/>
      <w:szCs w:val="22"/>
    </w:rPr>
  </w:style>
  <w:style w:type="paragraph" w:customStyle="1" w:styleId="20">
    <w:name w:val="表格"/>
    <w:basedOn w:val="1"/>
    <w:qFormat/>
    <w:uiPriority w:val="0"/>
    <w:pPr>
      <w:spacing w:line="240" w:lineRule="auto"/>
      <w:ind w:firstLine="0" w:firstLineChars="0"/>
      <w:jc w:val="center"/>
    </w:pPr>
    <w:rPr>
      <w:rFonts w:hint="eastAsia"/>
      <w:bCs/>
    </w:rPr>
  </w:style>
  <w:style w:type="paragraph" w:customStyle="1" w:styleId="21">
    <w:name w:val="图片表格"/>
    <w:basedOn w:val="1"/>
    <w:qFormat/>
    <w:uiPriority w:val="0"/>
    <w:pPr>
      <w:spacing w:line="240" w:lineRule="auto"/>
      <w:ind w:firstLine="0" w:firstLineChars="0"/>
      <w:jc w:val="center"/>
    </w:pPr>
    <w:rPr>
      <w:rFonts w:hint="eastAsia" w:ascii="宋体" w:hAnsi="宋体" w:eastAsia="宋体"/>
      <w:bCs/>
      <w:color w:val="000000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header" Target="head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10651</Words>
  <Characters>11110</Characters>
  <Lines>51</Lines>
  <Paragraphs>14</Paragraphs>
  <TotalTime>0</TotalTime>
  <ScaleCrop>false</ScaleCrop>
  <LinksUpToDate>false</LinksUpToDate>
  <CharactersWithSpaces>11286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2020-04-19T06:32:00Z</dcterms:created>
  <dc:creator>微软用户</dc:creator>
  <cp:lastModifiedBy>春华秋实</cp:lastModifiedBy>
  <dcterms:modified xsi:type="dcterms:W3CDTF">2022-11-06T16:56:46Z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9D015DD1F543466EACB42A3FDC05B482</vt:lpwstr>
  </property>
</Properties>
</file>