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1272"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455" w:type="dxa"/>
            <w:vAlign w:val="center"/>
          </w:tcPr>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受审核部门：行政部；主管领导/陪同人员：石美军/王红利</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rPr>
                <w:rFonts w:hint="eastAsia" w:ascii="等线" w:hAnsi="等线" w:eastAsia="等线" w:cs="等线"/>
                <w:sz w:val="21"/>
                <w:szCs w:val="21"/>
              </w:rPr>
            </w:pPr>
          </w:p>
        </w:tc>
        <w:tc>
          <w:tcPr>
            <w:tcW w:w="1272" w:type="dxa"/>
            <w:vMerge w:val="continue"/>
            <w:vAlign w:val="center"/>
          </w:tcPr>
          <w:p>
            <w:pPr>
              <w:rPr>
                <w:rFonts w:hint="eastAsia" w:ascii="等线" w:hAnsi="等线" w:eastAsia="等线" w:cs="等线"/>
                <w:sz w:val="21"/>
                <w:szCs w:val="21"/>
              </w:rPr>
            </w:pPr>
          </w:p>
        </w:tc>
        <w:tc>
          <w:tcPr>
            <w:tcW w:w="10455" w:type="dxa"/>
            <w:vAlign w:val="center"/>
          </w:tcPr>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审核员：张磊        审核时间：2022.11.8</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rPr>
                <w:rFonts w:hint="eastAsia" w:ascii="等线" w:hAnsi="等线" w:eastAsia="等线" w:cs="等线"/>
                <w:color w:val="FF0000"/>
                <w:sz w:val="21"/>
                <w:szCs w:val="21"/>
              </w:rPr>
            </w:pPr>
          </w:p>
        </w:tc>
        <w:tc>
          <w:tcPr>
            <w:tcW w:w="1272" w:type="dxa"/>
            <w:vMerge w:val="continue"/>
            <w:vAlign w:val="center"/>
          </w:tcPr>
          <w:p>
            <w:pPr>
              <w:rPr>
                <w:rFonts w:hint="eastAsia" w:ascii="等线" w:hAnsi="等线" w:eastAsia="等线" w:cs="等线"/>
                <w:color w:val="FF0000"/>
                <w:sz w:val="21"/>
                <w:szCs w:val="21"/>
              </w:rPr>
            </w:pPr>
          </w:p>
        </w:tc>
        <w:tc>
          <w:tcPr>
            <w:tcW w:w="10455" w:type="dxa"/>
            <w:vAlign w:val="center"/>
          </w:tcPr>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QEO:5.3岗位/职责 /权限；6.2QEO目标及其实现的策划；9.1.1监视、测量、分析和评价总则；9.1.3分析与评价；9.2内部审核；10.2不符合和纠正措施；</w:t>
            </w:r>
          </w:p>
          <w:p>
            <w:pPr>
              <w:pStyle w:val="2"/>
              <w:rPr>
                <w:rFonts w:hint="eastAsia" w:ascii="等线" w:hAnsi="等线" w:eastAsia="等线" w:cs="等线"/>
                <w:bCs w:val="0"/>
                <w:spacing w:val="0"/>
                <w:kern w:val="2"/>
                <w:sz w:val="21"/>
                <w:szCs w:val="21"/>
                <w:lang w:val="en-US" w:eastAsia="zh-CN" w:bidi="ar-SA"/>
              </w:rPr>
            </w:pPr>
            <w:r>
              <w:rPr>
                <w:rFonts w:hint="eastAsia" w:ascii="等线" w:hAnsi="等线" w:eastAsia="等线" w:cs="等线"/>
                <w:bCs w:val="0"/>
                <w:spacing w:val="0"/>
                <w:kern w:val="2"/>
                <w:sz w:val="21"/>
                <w:szCs w:val="21"/>
                <w:lang w:val="en-US" w:eastAsia="zh-CN" w:bidi="ar-SA"/>
              </w:rPr>
              <w:t>EO：6.1.2环境因素/危险源辨识和职业安全风险评价；6.1.3合规义务/法律法规要求和其他要求；8.1运行策划和控制；8.2应急准备和响应；9.1.2合规性评价；</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1848" w:type="dxa"/>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2"/>
              <w:rPr>
                <w:rFonts w:hint="eastAsia" w:ascii="宋体" w:hAnsi="宋体" w:eastAsia="宋体" w:cs="宋体"/>
                <w:bCs w:val="0"/>
                <w:spacing w:val="0"/>
                <w:kern w:val="2"/>
                <w:sz w:val="21"/>
                <w:szCs w:val="21"/>
                <w:lang w:val="en-US" w:eastAsia="zh-CN" w:bidi="ar-SA"/>
              </w:rPr>
            </w:pPr>
          </w:p>
        </w:tc>
        <w:tc>
          <w:tcPr>
            <w:tcW w:w="1272" w:type="dxa"/>
          </w:tcPr>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QEO5.3</w:t>
            </w:r>
          </w:p>
          <w:p>
            <w:pPr>
              <w:pStyle w:val="2"/>
              <w:rPr>
                <w:rFonts w:hint="eastAsia" w:ascii="宋体" w:hAnsi="宋体" w:eastAsia="宋体" w:cs="宋体"/>
                <w:bCs w:val="0"/>
                <w:spacing w:val="0"/>
                <w:kern w:val="2"/>
                <w:sz w:val="21"/>
                <w:szCs w:val="21"/>
                <w:lang w:val="en-US" w:eastAsia="zh-CN" w:bidi="ar-SA"/>
              </w:rPr>
            </w:pPr>
          </w:p>
        </w:tc>
        <w:tc>
          <w:tcPr>
            <w:tcW w:w="10455" w:type="dxa"/>
            <w:vAlign w:val="center"/>
          </w:tcPr>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审核发现行政部</w:t>
            </w:r>
            <w:r>
              <w:rPr>
                <w:rFonts w:hint="eastAsia" w:ascii="宋体" w:hAnsi="宋体" w:eastAsia="宋体" w:cs="宋体"/>
                <w:bCs w:val="0"/>
                <w:spacing w:val="0"/>
                <w:kern w:val="2"/>
                <w:sz w:val="21"/>
                <w:szCs w:val="21"/>
                <w:lang w:val="en-US" w:eastAsia="zh-CN" w:bidi="ar-SA"/>
              </w:rPr>
              <w:t>主要负责以下工作内容：</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协助领导做好各类会议的会务工作和落实会议作出的各项决定，负责会议记录；</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协助和处理公司日常行政事务工作；负责重要来信来访的处理及信息沟通和协商等；负责制定本单位职工培训年度计划，并组织实施；  </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负责职工人事档案与印章管理； </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负责事业编制人员岗位聘任工作；</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贯彻实施公司的质量、环境和职业健康安全及企业管理方针、目标、指标和管理方案；</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对本部门环境因素、危险源进行辨识和评价，制订控制措施；</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参与公司组织的应急演练；</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w:t>
            </w:r>
            <w:r>
              <w:rPr>
                <w:rFonts w:hint="eastAsia" w:ascii="宋体" w:hAnsi="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对工作场所进行风险控制，保护环境。</w:t>
            </w:r>
          </w:p>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与行政部负责人</w:t>
            </w:r>
            <w:r>
              <w:rPr>
                <w:rFonts w:hint="eastAsia" w:ascii="宋体" w:hAnsi="宋体" w:cs="宋体"/>
                <w:bCs w:val="0"/>
                <w:spacing w:val="0"/>
                <w:kern w:val="2"/>
                <w:sz w:val="21"/>
                <w:szCs w:val="21"/>
                <w:lang w:val="en-US" w:eastAsia="zh-CN" w:bidi="ar-SA"/>
              </w:rPr>
              <w:t>石美军</w:t>
            </w:r>
            <w:r>
              <w:rPr>
                <w:rFonts w:hint="eastAsia" w:ascii="宋体" w:hAnsi="宋体" w:eastAsia="宋体" w:cs="宋体"/>
                <w:bCs w:val="0"/>
                <w:spacing w:val="0"/>
                <w:kern w:val="2"/>
                <w:sz w:val="21"/>
                <w:szCs w:val="21"/>
                <w:lang w:val="en-US" w:eastAsia="zh-CN" w:bidi="ar-SA"/>
              </w:rPr>
              <w:t>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8" w:type="dxa"/>
          </w:tcPr>
          <w:p>
            <w:pPr>
              <w:pStyle w:val="2"/>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组织的环境因素、危险源辨识和职业安全风险评价</w:t>
            </w:r>
          </w:p>
        </w:tc>
        <w:tc>
          <w:tcPr>
            <w:tcW w:w="1272" w:type="dxa"/>
          </w:tcPr>
          <w:p>
            <w:pPr>
              <w:pStyle w:val="2"/>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EO：6.1.2</w:t>
            </w:r>
          </w:p>
        </w:tc>
        <w:tc>
          <w:tcPr>
            <w:tcW w:w="10455" w:type="dxa"/>
            <w:vAlign w:val="center"/>
          </w:tcPr>
          <w:p>
            <w:pPr>
              <w:pStyle w:val="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组织根据手册第6.1.2条款、《环境因素识别与评价管理程序》要求，由行政部负责指导各部门环境因素的调查、评价、汇总、登记、审定及更新，各部门负责组织实施，行政部负责汇总整理。</w:t>
            </w:r>
          </w:p>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查看组织《环境因素识别评价表》，组织在办公区、仓库等场所，按照活动过程调查、识别和确定了环境因素及其环境影响，对环境因素的状态进行评价，对应责任部门明确，有相应的保存期限、责任人和制定日期，基本满足环境因素识别、确定和保持要求。</w:t>
            </w:r>
          </w:p>
          <w:p>
            <w:pPr>
              <w:pStyle w:val="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组织按照《环境因素识别与评价程序》准则确定了重要环境因素，抽查组织《重要环境因素清单》内容如下：</w:t>
            </w:r>
          </w:p>
          <w:tbl>
            <w:tblPr>
              <w:tblStyle w:val="11"/>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环境因素</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活动点/工序或部位</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环境影响</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时态/状态</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136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危险固废的排放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办公废旧灯管、电池、磁盘等废弃</w:t>
                  </w:r>
                </w:p>
              </w:tc>
              <w:tc>
                <w:tcPr>
                  <w:tcW w:w="1843"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固废处理</w:t>
                  </w:r>
                </w:p>
                <w:p>
                  <w:pPr>
                    <w:spacing w:line="240" w:lineRule="exact"/>
                    <w:rPr>
                      <w:rFonts w:hint="eastAsia"/>
                      <w:sz w:val="18"/>
                      <w:szCs w:val="18"/>
                      <w:lang w:val="en-US" w:eastAsia="zh-CN"/>
                    </w:rPr>
                  </w:pPr>
                  <w:r>
                    <w:rPr>
                      <w:rFonts w:hint="eastAsia"/>
                      <w:sz w:val="18"/>
                      <w:szCs w:val="18"/>
                      <w:lang w:val="en-US" w:eastAsia="zh-CN"/>
                    </w:rPr>
                    <w:t>污染土壤</w:t>
                  </w:r>
                </w:p>
              </w:tc>
              <w:tc>
                <w:tcPr>
                  <w:tcW w:w="12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①目标、指标及环境管理方案</w:t>
                  </w:r>
                </w:p>
                <w:p>
                  <w:pPr>
                    <w:spacing w:line="240" w:lineRule="exact"/>
                    <w:rPr>
                      <w:rFonts w:hint="eastAsia"/>
                      <w:sz w:val="18"/>
                      <w:szCs w:val="18"/>
                      <w:lang w:val="en-US" w:eastAsia="zh-CN"/>
                    </w:rPr>
                  </w:pPr>
                  <w:r>
                    <w:rPr>
                      <w:rFonts w:hint="eastAsia"/>
                      <w:sz w:val="18"/>
                      <w:szCs w:val="18"/>
                      <w:lang w:val="en-US" w:eastAsia="zh-CN"/>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电消耗</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办公用电</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资源消耗</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3</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潜在火灾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办公、后勤生活</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大气、土壤等综合性污染</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4</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生活垃圾的排放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办公活动</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大气污染</w:t>
                  </w:r>
                </w:p>
                <w:p>
                  <w:pPr>
                    <w:spacing w:line="240" w:lineRule="exact"/>
                    <w:rPr>
                      <w:rFonts w:hint="eastAsia"/>
                      <w:sz w:val="18"/>
                      <w:szCs w:val="18"/>
                      <w:lang w:val="en-US" w:eastAsia="zh-CN"/>
                    </w:rPr>
                  </w:pPr>
                  <w:r>
                    <w:rPr>
                      <w:rFonts w:hint="eastAsia"/>
                      <w:sz w:val="18"/>
                      <w:szCs w:val="18"/>
                      <w:lang w:val="en-US" w:eastAsia="zh-CN"/>
                    </w:rPr>
                    <w:t>土壤污染</w:t>
                  </w:r>
                </w:p>
              </w:tc>
              <w:tc>
                <w:tcPr>
                  <w:tcW w:w="1230" w:type="dxa"/>
                  <w:noWrap w:val="0"/>
                  <w:vAlign w:val="top"/>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①物业公司处理</w:t>
                  </w:r>
                </w:p>
              </w:tc>
            </w:tr>
          </w:tbl>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重要环境因素识别、评价与实际吻合，管理方案明确控制措施基本能够满足控制要求。</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6.1.2条款、《危险源辨识与风险评价控制措施管理程序》要求，由行政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11"/>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2370"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活动点/工序/部位</w:t>
                  </w:r>
                </w:p>
              </w:tc>
              <w:tc>
                <w:tcPr>
                  <w:tcW w:w="2490" w:type="dxa"/>
                  <w:noWrap w:val="0"/>
                  <w:vAlign w:val="center"/>
                </w:tcPr>
                <w:p>
                  <w:pPr>
                    <w:spacing w:line="240" w:lineRule="exact"/>
                    <w:rPr>
                      <w:rFonts w:hint="eastAsia"/>
                      <w:sz w:val="18"/>
                      <w:szCs w:val="18"/>
                      <w:lang w:val="en-US" w:eastAsia="zh-CN"/>
                    </w:rPr>
                  </w:pPr>
                  <w:r>
                    <w:rPr>
                      <w:rFonts w:hint="eastAsia"/>
                      <w:sz w:val="18"/>
                      <w:szCs w:val="18"/>
                      <w:lang w:val="en-US" w:eastAsia="zh-CN"/>
                    </w:rPr>
                    <w:t>潜在的危险因素</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可能导致的结果</w:t>
                  </w:r>
                </w:p>
              </w:tc>
              <w:tc>
                <w:tcPr>
                  <w:tcW w:w="3269" w:type="dxa"/>
                  <w:noWrap w:val="0"/>
                  <w:vAlign w:val="center"/>
                </w:tcPr>
                <w:p>
                  <w:pPr>
                    <w:spacing w:line="240" w:lineRule="exact"/>
                    <w:rPr>
                      <w:rFonts w:hint="eastAsia"/>
                      <w:sz w:val="18"/>
                      <w:szCs w:val="18"/>
                      <w:lang w:val="en-US" w:eastAsia="zh-CN"/>
                    </w:rPr>
                  </w:pPr>
                  <w:r>
                    <w:rPr>
                      <w:rFonts w:hint="eastAsia"/>
                      <w:sz w:val="18"/>
                      <w:szCs w:val="18"/>
                      <w:lang w:val="en-US" w:eastAsia="zh-CN"/>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2370" w:type="dxa"/>
                  <w:noWrap w:val="0"/>
                  <w:vAlign w:val="center"/>
                </w:tcPr>
                <w:p>
                  <w:pPr>
                    <w:spacing w:line="240" w:lineRule="exact"/>
                    <w:rPr>
                      <w:rFonts w:hint="eastAsia"/>
                      <w:sz w:val="18"/>
                      <w:szCs w:val="18"/>
                      <w:lang w:val="en-US" w:eastAsia="zh-CN"/>
                    </w:rPr>
                  </w:pPr>
                  <w:r>
                    <w:rPr>
                      <w:rFonts w:hint="eastAsia"/>
                      <w:sz w:val="18"/>
                      <w:szCs w:val="18"/>
                    </w:rPr>
                    <w:t>触电（私拉电线、设备漏电、违章作业等）</w:t>
                  </w:r>
                </w:p>
              </w:tc>
              <w:tc>
                <w:tcPr>
                  <w:tcW w:w="2490" w:type="dxa"/>
                  <w:noWrap w:val="0"/>
                  <w:vAlign w:val="center"/>
                </w:tcPr>
                <w:p>
                  <w:pPr>
                    <w:spacing w:line="240" w:lineRule="exact"/>
                    <w:rPr>
                      <w:rFonts w:hint="eastAsia"/>
                      <w:sz w:val="18"/>
                      <w:szCs w:val="18"/>
                      <w:lang w:val="en-US" w:eastAsia="zh-CN"/>
                    </w:rPr>
                  </w:pPr>
                  <w:r>
                    <w:rPr>
                      <w:rFonts w:hint="eastAsia"/>
                      <w:sz w:val="18"/>
                      <w:szCs w:val="18"/>
                    </w:rPr>
                    <w:t>触电伤亡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2370" w:type="dxa"/>
                  <w:noWrap w:val="0"/>
                  <w:vAlign w:val="center"/>
                </w:tcPr>
                <w:p>
                  <w:pPr>
                    <w:spacing w:line="240" w:lineRule="exact"/>
                    <w:rPr>
                      <w:rFonts w:hint="eastAsia"/>
                      <w:sz w:val="18"/>
                      <w:szCs w:val="18"/>
                      <w:lang w:val="en-US" w:eastAsia="zh-CN"/>
                    </w:rPr>
                  </w:pPr>
                  <w:r>
                    <w:rPr>
                      <w:rFonts w:hint="eastAsia"/>
                      <w:sz w:val="18"/>
                      <w:szCs w:val="18"/>
                    </w:rPr>
                    <w:t>潜在火灾事故（电线老化；易燃处吸烟、动火等）</w:t>
                  </w:r>
                </w:p>
              </w:tc>
              <w:tc>
                <w:tcPr>
                  <w:tcW w:w="2490" w:type="dxa"/>
                  <w:noWrap w:val="0"/>
                  <w:vAlign w:val="center"/>
                </w:tcPr>
                <w:p>
                  <w:pPr>
                    <w:spacing w:line="240" w:lineRule="exact"/>
                    <w:rPr>
                      <w:rFonts w:hint="eastAsia"/>
                      <w:sz w:val="18"/>
                      <w:szCs w:val="18"/>
                      <w:lang w:val="en-US" w:eastAsia="zh-CN"/>
                    </w:rPr>
                  </w:pPr>
                  <w:r>
                    <w:rPr>
                      <w:rFonts w:hint="eastAsia"/>
                      <w:sz w:val="18"/>
                      <w:szCs w:val="18"/>
                    </w:rPr>
                    <w:t>火灾伤亡</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人员的人身伤害</w:t>
                  </w:r>
                </w:p>
              </w:tc>
              <w:tc>
                <w:tcPr>
                  <w:tcW w:w="3269" w:type="dxa"/>
                  <w:noWrap w:val="0"/>
                  <w:vAlign w:val="center"/>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3</w:t>
                  </w:r>
                </w:p>
              </w:tc>
              <w:tc>
                <w:tcPr>
                  <w:tcW w:w="2370" w:type="dxa"/>
                  <w:noWrap w:val="0"/>
                  <w:vAlign w:val="center"/>
                </w:tcPr>
                <w:p>
                  <w:pPr>
                    <w:spacing w:line="240" w:lineRule="exact"/>
                    <w:rPr>
                      <w:rFonts w:hint="eastAsia"/>
                      <w:sz w:val="18"/>
                      <w:szCs w:val="18"/>
                      <w:lang w:val="en-US" w:eastAsia="zh-CN"/>
                    </w:rPr>
                  </w:pPr>
                  <w:r>
                    <w:rPr>
                      <w:rFonts w:hint="eastAsia"/>
                      <w:sz w:val="18"/>
                      <w:szCs w:val="18"/>
                    </w:rPr>
                    <w:t>交通事故</w:t>
                  </w:r>
                </w:p>
              </w:tc>
              <w:tc>
                <w:tcPr>
                  <w:tcW w:w="2490" w:type="dxa"/>
                  <w:noWrap w:val="0"/>
                  <w:vAlign w:val="center"/>
                </w:tcPr>
                <w:p>
                  <w:pPr>
                    <w:spacing w:line="240" w:lineRule="exact"/>
                    <w:rPr>
                      <w:rFonts w:hint="eastAsia"/>
                      <w:sz w:val="18"/>
                      <w:szCs w:val="18"/>
                      <w:lang w:val="en-US" w:eastAsia="zh-CN"/>
                    </w:rPr>
                  </w:pPr>
                  <w:r>
                    <w:rPr>
                      <w:rFonts w:hint="eastAsia"/>
                      <w:sz w:val="18"/>
                      <w:szCs w:val="18"/>
                    </w:rPr>
                    <w:t>意外伤亡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w:t>
                  </w:r>
                </w:p>
              </w:tc>
            </w:tr>
          </w:tbl>
          <w:p>
            <w:pPr>
              <w:pStyle w:val="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的职业健康安全风险与危险源辨识清单判定的内容一致，行政部负责人石美军在访谈时介绍，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848"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280" w:lineRule="exact"/>
              <w:rPr>
                <w:rFonts w:hint="eastAsia" w:ascii="宋体" w:hAnsi="宋体" w:eastAsia="宋体" w:cs="宋体"/>
                <w:bCs w:val="0"/>
                <w:spacing w:val="0"/>
                <w:kern w:val="2"/>
                <w:sz w:val="21"/>
                <w:szCs w:val="21"/>
                <w:lang w:val="en-US" w:eastAsia="zh-CN" w:bidi="ar-SA"/>
              </w:rPr>
            </w:pPr>
          </w:p>
        </w:tc>
        <w:tc>
          <w:tcPr>
            <w:tcW w:w="1272" w:type="dxa"/>
          </w:tcPr>
          <w:p>
            <w:pPr>
              <w:spacing w:line="28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QEO6.2</w:t>
            </w:r>
          </w:p>
          <w:p>
            <w:pPr>
              <w:spacing w:line="280" w:lineRule="exact"/>
              <w:rPr>
                <w:rFonts w:hint="eastAsia" w:ascii="宋体" w:hAnsi="宋体" w:eastAsia="宋体" w:cs="宋体"/>
                <w:bCs w:val="0"/>
                <w:spacing w:val="0"/>
                <w:kern w:val="2"/>
                <w:sz w:val="21"/>
                <w:szCs w:val="21"/>
                <w:lang w:val="en-US" w:eastAsia="zh-CN" w:bidi="ar-SA"/>
              </w:rPr>
            </w:pPr>
          </w:p>
          <w:p>
            <w:pPr>
              <w:spacing w:line="280" w:lineRule="exact"/>
              <w:rPr>
                <w:rFonts w:hint="eastAsia" w:ascii="宋体" w:hAnsi="宋体" w:eastAsia="宋体" w:cs="宋体"/>
                <w:bCs w:val="0"/>
                <w:spacing w:val="0"/>
                <w:kern w:val="2"/>
                <w:sz w:val="21"/>
                <w:szCs w:val="21"/>
                <w:lang w:val="en-US" w:eastAsia="zh-CN" w:bidi="ar-SA"/>
              </w:rPr>
            </w:pPr>
          </w:p>
        </w:tc>
        <w:tc>
          <w:tcPr>
            <w:tcW w:w="10455" w:type="dxa"/>
            <w:vAlign w:val="top"/>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质量目标的制定符合部门主要工作流程实际情况，有针对性，可测量。与质量方针保持一致。明确了目标考核的具体方法和频次。</w:t>
            </w:r>
          </w:p>
          <w:p>
            <w:pPr>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质量目标：                              考核结果</w:t>
            </w:r>
          </w:p>
          <w:p>
            <w:pPr>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培训计划完成率100%                         100  </w:t>
            </w:r>
          </w:p>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文件发放及时率100%</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100   </w:t>
            </w:r>
          </w:p>
          <w:p>
            <w:pPr>
              <w:pStyle w:val="2"/>
              <w:rPr>
                <w:rFonts w:hint="eastAsia" w:ascii="宋体" w:hAnsi="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设备完好率≥98%</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100</w:t>
            </w:r>
          </w:p>
          <w:p>
            <w:pPr>
              <w:pStyle w:val="2"/>
              <w:rPr>
                <w:rFonts w:hint="default" w:ascii="宋体" w:hAnsi="宋体" w:cs="宋体"/>
                <w:bCs w:val="0"/>
                <w:spacing w:val="0"/>
                <w:kern w:val="2"/>
                <w:sz w:val="21"/>
                <w:szCs w:val="21"/>
                <w:lang w:val="en-US" w:eastAsia="zh-CN" w:bidi="ar-SA"/>
              </w:rPr>
            </w:pPr>
            <w:r>
              <w:rPr>
                <w:rFonts w:hint="default" w:ascii="宋体" w:hAnsi="宋体" w:cs="宋体"/>
                <w:bCs w:val="0"/>
                <w:spacing w:val="0"/>
                <w:kern w:val="2"/>
                <w:sz w:val="21"/>
                <w:szCs w:val="21"/>
                <w:lang w:val="en-US" w:eastAsia="zh-CN" w:bidi="ar-SA"/>
              </w:rPr>
              <w:t>合规性评价执行率100%；</w:t>
            </w:r>
            <w:r>
              <w:rPr>
                <w:rFonts w:hint="eastAsia" w:ascii="宋体" w:hAnsi="宋体" w:cs="宋体"/>
                <w:bCs w:val="0"/>
                <w:spacing w:val="0"/>
                <w:kern w:val="2"/>
                <w:sz w:val="21"/>
                <w:szCs w:val="21"/>
                <w:lang w:val="en-US" w:eastAsia="zh-CN" w:bidi="ar-SA"/>
              </w:rPr>
              <w:t xml:space="preserve">                      100</w:t>
            </w:r>
          </w:p>
          <w:p>
            <w:pPr>
              <w:pStyle w:val="2"/>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环境目标：</w:t>
            </w:r>
          </w:p>
          <w:p>
            <w:pPr>
              <w:pStyle w:val="2"/>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各类废弃物按规定处置率100%</w:t>
            </w:r>
            <w:r>
              <w:rPr>
                <w:rFonts w:hint="default" w:ascii="宋体" w:hAnsi="宋体" w:eastAsia="宋体" w:cs="宋体"/>
                <w:bCs w:val="0"/>
                <w:spacing w:val="0"/>
                <w:kern w:val="2"/>
                <w:sz w:val="21"/>
                <w:szCs w:val="21"/>
                <w:lang w:val="en-US" w:eastAsia="zh-CN" w:bidi="ar-SA"/>
              </w:rPr>
              <w:t>；</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100</w:t>
            </w:r>
          </w:p>
          <w:p>
            <w:pPr>
              <w:pStyle w:val="2"/>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职业健康安全目标：</w:t>
            </w:r>
          </w:p>
          <w:p>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重大安全事故为零、轻伤发生次数为零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0                    </w:t>
            </w:r>
          </w:p>
          <w:p>
            <w:pPr>
              <w:ind w:firstLine="420" w:firstLineChars="200"/>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考核期限为2022.1月-2022.</w:t>
            </w:r>
            <w:r>
              <w:rPr>
                <w:rFonts w:hint="eastAsia" w:ascii="宋体" w:hAnsi="宋体" w:cs="宋体"/>
                <w:bCs w:val="0"/>
                <w:spacing w:val="0"/>
                <w:kern w:val="2"/>
                <w:sz w:val="21"/>
                <w:szCs w:val="21"/>
                <w:lang w:val="en-US" w:eastAsia="zh-CN" w:bidi="ar-SA"/>
              </w:rPr>
              <w:t>9</w:t>
            </w:r>
            <w:r>
              <w:rPr>
                <w:rFonts w:hint="eastAsia" w:ascii="宋体" w:hAnsi="宋体" w:eastAsia="宋体" w:cs="宋体"/>
                <w:bCs w:val="0"/>
                <w:spacing w:val="0"/>
                <w:kern w:val="2"/>
                <w:sz w:val="21"/>
                <w:szCs w:val="21"/>
                <w:lang w:val="en-US" w:eastAsia="zh-CN" w:bidi="ar-SA"/>
              </w:rPr>
              <w:t>月，培训计划完成率为100%。</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jc w:val="left"/>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E08.1</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组织制定了HS-P-23-2021《运行控制管理程序》、</w:t>
            </w:r>
            <w:r>
              <w:rPr>
                <w:rFonts w:hint="eastAsia" w:cs="Times New Roman"/>
                <w:lang w:val="en-US" w:eastAsia="zh-CN"/>
              </w:rPr>
              <w:t>HS</w:t>
            </w:r>
            <w:r>
              <w:rPr>
                <w:rFonts w:hint="eastAsia" w:ascii="Times New Roman" w:hAnsi="Times New Roman" w:cs="Times New Roman"/>
                <w:lang w:val="en-US" w:eastAsia="zh-CN"/>
              </w:rPr>
              <w:t xml:space="preserve"> -P-12-2021《员工健康卫生管理程序》等过程控制准则，根据准则要求，行政部负责对固体废弃物、能资源消耗、</w:t>
            </w:r>
            <w:r>
              <w:rPr>
                <w:rFonts w:hint="eastAsia" w:cs="Times New Roman"/>
                <w:lang w:val="en-US" w:eastAsia="zh-CN"/>
              </w:rPr>
              <w:t>火灾预防</w:t>
            </w:r>
            <w:r>
              <w:rPr>
                <w:rFonts w:hint="eastAsia" w:ascii="Times New Roman" w:hAnsi="Times New Roman" w:cs="Times New Roman"/>
                <w:lang w:val="en-US" w:eastAsia="zh-CN"/>
              </w:rPr>
              <w:t>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■办公过程注意节约用电，做到人走灯灭，电脑长时间不用时关机，下班前要关闭电源；</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■办公过程使用的电器如：空调、电脑、灯具均符合安全设计要求，使用过程注意安全，预防触电，工作时间平均每天8小时；</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■劳保用品按要求由综合部负责发放，作好记录；主要劳保用品为：线手套、口罩</w:t>
            </w:r>
            <w:r>
              <w:rPr>
                <w:rFonts w:hint="eastAsia" w:ascii="Times New Roman" w:hAnsi="Times New Roman" w:cs="Times New Roman"/>
                <w:lang w:val="en-US" w:eastAsia="zh-CN"/>
              </w:rPr>
              <w:drawing>
                <wp:anchor distT="0" distB="0" distL="114300" distR="114300" simplePos="0" relativeHeight="251659264" behindDoc="1" locked="0" layoutInCell="1" allowOverlap="1">
                  <wp:simplePos x="0" y="0"/>
                  <wp:positionH relativeFrom="column">
                    <wp:posOffset>4336415</wp:posOffset>
                  </wp:positionH>
                  <wp:positionV relativeFrom="paragraph">
                    <wp:posOffset>-1462405</wp:posOffset>
                  </wp:positionV>
                  <wp:extent cx="2331720" cy="2419985"/>
                  <wp:effectExtent l="0" t="0" r="5715" b="5080"/>
                  <wp:wrapTight wrapText="bothSides">
                    <wp:wrapPolygon>
                      <wp:start x="6" y="21600"/>
                      <wp:lineTo x="21535" y="21600"/>
                      <wp:lineTo x="21535" y="62"/>
                      <wp:lineTo x="6" y="62"/>
                      <wp:lineTo x="6" y="21600"/>
                    </wp:wrapPolygon>
                  </wp:wrapTight>
                  <wp:docPr id="1" name="图片 1" descr="2a19bc97fade2d2a2c602d90e9258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19bc97fade2d2a2c602d90e92582e"/>
                          <pic:cNvPicPr>
                            <a:picLocks noChangeAspect="1"/>
                          </pic:cNvPicPr>
                        </pic:nvPicPr>
                        <pic:blipFill>
                          <a:blip r:embed="rId6"/>
                          <a:srcRect r="27733"/>
                          <a:stretch>
                            <a:fillRect/>
                          </a:stretch>
                        </pic:blipFill>
                        <pic:spPr>
                          <a:xfrm rot="5400000">
                            <a:off x="0" y="0"/>
                            <a:ext cx="2331720" cy="2419985"/>
                          </a:xfrm>
                          <a:prstGeom prst="rect">
                            <a:avLst/>
                          </a:prstGeom>
                        </pic:spPr>
                      </pic:pic>
                    </a:graphicData>
                  </a:graphic>
                </wp:anchor>
              </w:drawing>
            </w:r>
            <w:r>
              <w:rPr>
                <w:rFonts w:hint="eastAsia" w:cs="Times New Roman"/>
                <w:lang w:val="en-US" w:eastAsia="zh-CN"/>
              </w:rPr>
              <w:t>等</w:t>
            </w:r>
            <w:bookmarkStart w:id="0" w:name="_GoBack"/>
            <w:bookmarkEnd w:id="0"/>
            <w:r>
              <w:rPr>
                <w:rFonts w:hint="eastAsia" w:ascii="Times New Roman" w:hAnsi="Times New Roman" w:cs="Times New Roman"/>
                <w:lang w:val="en-US" w:eastAsia="zh-CN"/>
              </w:rPr>
              <w:t>，记录了发放时间、领用人等</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相关方施加影响：公司能够控制或能够施加影响的相关方有与企业合作的商户、固体废弃物处理等。提供了“致相关方的公开信”，并跟部分需要再厂区内活动的相关方签订安全管理协议，将公司关于采购物资、固体废弃物处理等方面环境控制要求发放到了周边商户，督促影响各相关方按照环境管理体系要求对环境施加影响。</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■公司办公产生的废硒鼓、废墨盒由供应方公司回收；</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■公司为员工缴纳了工伤保险，提供了缴纳保险的证据</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■办公区固废；现在分类集中存放，及时处理，防止意外火灾。</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■驾驶员要求遵守道路交通安全法，不违章驾车，驾驶证和车辆定期年审，确保行车安全；</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■现场查看办公区域配备有符合要求的灭火器等，综合部设备、电器状态良好，无安全隐患。</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■摔倒：地面及时清理和清洁；悬挂警示标志；</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■中暑：有空调、风扇；有冷饮、凉茶；</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■触电：有过流保护器；全公司使用220V的电压；悬挂警示标志；应急救援；</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■安全用电：不随便拉电线，不随便使用大功率电器；</w:t>
            </w:r>
          </w:p>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 xml:space="preserve">■消防：消防栓、灭火器（干粉）；定期检查；及时更换 </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其它环境和职业健康安全策划和管控记录见各部门EO8.1。</w:t>
            </w:r>
          </w:p>
        </w:tc>
        <w:tc>
          <w:tcPr>
            <w:tcW w:w="1134" w:type="dxa"/>
            <w:vAlign w:val="center"/>
          </w:tcPr>
          <w:p>
            <w:pPr>
              <w:jc w:val="left"/>
              <w:rPr>
                <w:rFonts w:hint="default" w:ascii="楷体" w:hAnsi="楷体" w:eastAsia="楷体"/>
                <w:color w:val="FF0000"/>
                <w:sz w:val="24"/>
                <w:szCs w:val="24"/>
                <w:lang w:val="en-US" w:eastAsia="zh-CN"/>
              </w:rPr>
            </w:pPr>
            <w:r>
              <w:rPr>
                <w:rFonts w:hint="eastAsia" w:ascii="楷体" w:hAnsi="楷体" w:eastAsia="楷体"/>
                <w:color w:val="FF000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应急准备和响应</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EO8.2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组织制定了</w:t>
            </w:r>
            <w:r>
              <w:rPr>
                <w:rFonts w:hint="eastAsia" w:cs="Times New Roman"/>
                <w:lang w:val="en-US" w:eastAsia="zh-CN"/>
              </w:rPr>
              <w:t>HS</w:t>
            </w:r>
            <w:r>
              <w:rPr>
                <w:rFonts w:hint="eastAsia" w:ascii="Times New Roman" w:hAnsi="Times New Roman" w:cs="Times New Roman"/>
                <w:lang w:val="en-US" w:eastAsia="zh-CN"/>
              </w:rPr>
              <w:t>-P-13-2021《应急准备和响应管理程序》，识别紧急情况如下：1.自然灾害；</w:t>
            </w:r>
            <w:r>
              <w:rPr>
                <w:rFonts w:hint="eastAsia" w:cs="Times New Roman"/>
                <w:lang w:val="en-US" w:eastAsia="zh-CN"/>
              </w:rPr>
              <w:t>2</w:t>
            </w:r>
            <w:r>
              <w:rPr>
                <w:rFonts w:hint="eastAsia" w:ascii="Times New Roman" w:hAnsi="Times New Roman" w:cs="Times New Roman"/>
                <w:lang w:val="en-US" w:eastAsia="zh-CN"/>
              </w:rPr>
              <w:t>.触电；</w:t>
            </w:r>
            <w:r>
              <w:rPr>
                <w:rFonts w:hint="eastAsia" w:cs="Times New Roman"/>
                <w:lang w:val="en-US" w:eastAsia="zh-CN"/>
              </w:rPr>
              <w:t>3.火灾等</w:t>
            </w:r>
            <w:r>
              <w:rPr>
                <w:rFonts w:hint="eastAsia" w:ascii="Times New Roman" w:hAnsi="Times New Roman" w:cs="Times New Roman"/>
                <w:lang w:val="en-US" w:eastAsia="zh-CN"/>
              </w:rPr>
              <w:t>，均规定了相应的应急响应措施，基本覆盖了重要环境因素和重要危险源的内容，符合控制要求，无修订记录。</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2</w:t>
            </w:r>
            <w:r>
              <w:rPr>
                <w:rFonts w:hint="eastAsia" w:ascii="Times New Roman" w:hAnsi="Times New Roman" w:cs="Times New Roman"/>
                <w:lang w:val="en-US" w:eastAsia="zh-CN"/>
              </w:rPr>
              <w:t>年</w:t>
            </w:r>
            <w:r>
              <w:rPr>
                <w:rFonts w:hint="eastAsia"/>
                <w:lang w:val="en-US" w:eastAsia="zh-CN"/>
              </w:rPr>
              <w:t>5月20日</w:t>
            </w:r>
            <w:r>
              <w:rPr>
                <w:rFonts w:hint="eastAsia" w:ascii="Times New Roman" w:hAnsi="Times New Roman" w:cs="Times New Roman"/>
                <w:lang w:val="en-US" w:eastAsia="zh-CN"/>
              </w:rPr>
              <w:t>举行的消防演练记录，内容主要包括演练目的、演练记录、演习过程的图片等信息。基本满足应急准备要求。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绩效总则</w:t>
            </w:r>
          </w:p>
          <w:p>
            <w:pPr>
              <w:ind w:firstLine="420" w:firstLineChars="200"/>
              <w:jc w:val="left"/>
              <w:rPr>
                <w:rFonts w:hint="eastAsia" w:ascii="Times New Roman" w:hAnsi="Times New Roman" w:cs="Times New Roman"/>
                <w:lang w:val="en-US" w:eastAsia="zh-CN"/>
              </w:rPr>
            </w:pPr>
          </w:p>
        </w:tc>
        <w:tc>
          <w:tcPr>
            <w:tcW w:w="1272" w:type="dxa"/>
            <w:vAlign w:val="top"/>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QEO9.1.1</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行政部对管理体系的过程能力进行监视和测量，主要通过内审对管理体系运行的符合性和有效性进行监测，内审详见行政部审核9.2条款；再通过管理评审对管理体系的充分性、有效性和适宜性作了肯定的评价，详见管理层9.2条款记录；通过目标考评，监测管理体系运行的有效性，详见行政部审核6.2条款。</w:t>
            </w:r>
          </w:p>
        </w:tc>
        <w:tc>
          <w:tcPr>
            <w:tcW w:w="1134" w:type="dxa"/>
          </w:tcPr>
          <w:p>
            <w:pPr>
              <w:rPr>
                <w:rFonts w:hint="default"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48"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合规性评价</w:t>
            </w:r>
          </w:p>
        </w:tc>
        <w:tc>
          <w:tcPr>
            <w:tcW w:w="1272" w:type="dxa"/>
            <w:vAlign w:val="top"/>
          </w:tcPr>
          <w:p>
            <w:pPr>
              <w:jc w:val="left"/>
              <w:rPr>
                <w:rFonts w:hint="default" w:ascii="Times New Roman" w:hAnsi="Times New Roman" w:cs="Times New Roman"/>
                <w:lang w:val="en-US" w:eastAsia="zh-CN"/>
              </w:rPr>
            </w:pPr>
            <w:r>
              <w:rPr>
                <w:rFonts w:hint="eastAsia" w:ascii="Times New Roman" w:hAnsi="Times New Roman" w:cs="Times New Roman"/>
                <w:lang w:val="en-US" w:eastAsia="zh-CN"/>
              </w:rPr>
              <w:t>EO9.1.2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组织按照</w:t>
            </w:r>
            <w:r>
              <w:rPr>
                <w:rFonts w:hint="eastAsia" w:cs="Times New Roman"/>
                <w:lang w:val="en-US" w:eastAsia="zh-CN"/>
              </w:rPr>
              <w:t>HS</w:t>
            </w:r>
            <w:r>
              <w:rPr>
                <w:rFonts w:hint="eastAsia" w:ascii="Times New Roman" w:hAnsi="Times New Roman" w:cs="Times New Roman"/>
                <w:lang w:val="en-US" w:eastAsia="zh-CN"/>
              </w:rPr>
              <w:t xml:space="preserve"> -P-16-2021《合规性评价管理程序》对环境、职业健康安全相关的适用法律法规进行合规性评价。行政部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查看《环境法律法规合规性评价表》，内容包括法律法规名称、适用条款、适用环境因素、合规性评价证据、结论和措施等，截止202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8</w:t>
            </w:r>
            <w:r>
              <w:rPr>
                <w:rFonts w:hint="eastAsia" w:ascii="Times New Roman" w:hAnsi="Times New Roman" w:cs="Times New Roman"/>
                <w:lang w:val="en-US" w:eastAsia="zh-CN"/>
              </w:rPr>
              <w:t>月2</w:t>
            </w:r>
            <w:r>
              <w:rPr>
                <w:rFonts w:hint="eastAsia" w:cs="Times New Roman"/>
                <w:lang w:val="en-US" w:eastAsia="zh-CN"/>
              </w:rPr>
              <w:t>8</w:t>
            </w:r>
            <w:r>
              <w:rPr>
                <w:rFonts w:hint="eastAsia" w:ascii="Times New Roman" w:hAnsi="Times New Roman" w:cs="Times New Roman"/>
                <w:lang w:val="en-US" w:eastAsia="zh-CN"/>
              </w:rPr>
              <w:t>日，合规性评价结论均符合要求。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查看《安全法律法规合规性评价表》，内容包括法律法规名称、适用条款、执行情况与检查评价等，截止202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8</w:t>
            </w:r>
            <w:r>
              <w:rPr>
                <w:rFonts w:hint="eastAsia" w:ascii="Times New Roman" w:hAnsi="Times New Roman" w:cs="Times New Roman"/>
                <w:lang w:val="en-US" w:eastAsia="zh-CN"/>
              </w:rPr>
              <w:t>月2</w:t>
            </w:r>
            <w:r>
              <w:rPr>
                <w:rFonts w:hint="eastAsia" w:cs="Times New Roman"/>
                <w:lang w:val="en-US" w:eastAsia="zh-CN"/>
              </w:rPr>
              <w:t>8</w:t>
            </w:r>
            <w:r>
              <w:rPr>
                <w:rFonts w:hint="eastAsia" w:ascii="Times New Roman" w:hAnsi="Times New Roman" w:cs="Times New Roman"/>
                <w:lang w:val="en-US" w:eastAsia="zh-CN"/>
              </w:rPr>
              <w:t>日，合规性评价结论均符合要求。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分析与评价</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Q9.1.3</w:t>
            </w: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组织数据包括：产品生产和销售状况、管理体系运行状况、顾客满意管理、供方管理等过程的数据分析。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查自组织管理体系运行以来，已经进行搜集信息和数据的活动：管理目标考核、顾客满意度调查、供方的交付和质量、环境、职业健康安全运行情况等的简单分析。</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通过对管理目标的状态评价产品和服务的符合性良好；对顾客满意度的评价为达到目标要求；外部供方按时交付和质量经分析均满足要求，绩效良好。通过内审评审组织管理体系的策划已有效实施；通过管理评审评价组织应对风险和机遇所采取措施有效，管理体系有效、绩效良好，评价出管理体系改进的需求有进一步提高顾客满意度。</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信息和数据分析、评价情况见各相关过程的审核记录。</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内部审核</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QEO9.2</w:t>
            </w:r>
          </w:p>
        </w:tc>
        <w:tc>
          <w:tcPr>
            <w:tcW w:w="10455" w:type="dxa"/>
            <w:vAlign w:val="center"/>
          </w:tcPr>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组织根据制定的</w:t>
            </w:r>
            <w:r>
              <w:rPr>
                <w:rFonts w:hint="eastAsia" w:cs="Times New Roman"/>
                <w:lang w:val="en-US" w:eastAsia="zh-CN"/>
              </w:rPr>
              <w:t>HS</w:t>
            </w:r>
            <w:r>
              <w:rPr>
                <w:rFonts w:hint="eastAsia" w:ascii="Times New Roman" w:hAnsi="Times New Roman" w:cs="Times New Roman"/>
                <w:lang w:val="en-US" w:eastAsia="zh-CN"/>
              </w:rPr>
              <w:t>-P-15-2021《内部审核程序》进行内部审核过程控制。提供内审记录，抽查内容如下：</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审核组：丁盛/韩流：签到表显示，总经理、管理者代表、行政部、采购部、生产部、质检部、市场部、财务部各部门参与了内部审核的首末次会议，但未见手签记录；</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9</w:t>
            </w:r>
            <w:r>
              <w:rPr>
                <w:rFonts w:hint="eastAsia" w:ascii="Times New Roman" w:hAnsi="Times New Roman" w:cs="Times New Roman"/>
                <w:lang w:val="en-US" w:eastAsia="zh-CN"/>
              </w:rPr>
              <w:t>月</w:t>
            </w:r>
            <w:r>
              <w:rPr>
                <w:rFonts w:hint="eastAsia" w:cs="Times New Roman"/>
                <w:lang w:val="en-US" w:eastAsia="zh-CN"/>
              </w:rPr>
              <w:t>25-26</w:t>
            </w:r>
            <w:r>
              <w:rPr>
                <w:rFonts w:hint="eastAsia" w:ascii="Times New Roman" w:hAnsi="Times New Roman" w:cs="Times New Roman"/>
                <w:lang w:val="en-US" w:eastAsia="zh-CN"/>
              </w:rPr>
              <w:t>日制定的内部审核计划，内容包括审核目的、审核范围、审核准则、审核具体日程安排、编制批准等，内容完整，能够满足策划要求。</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提供《内部审核检查表》，内容包括条款号、检查内容、检查记录和结果判定等，记录显示，组织审核组有按照计划要求进行，满足执行要求。</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查《内审不符合报告》</w:t>
            </w:r>
            <w:r>
              <w:rPr>
                <w:rFonts w:hint="eastAsia" w:cs="Times New Roman"/>
                <w:lang w:val="en-US" w:eastAsia="zh-CN"/>
              </w:rPr>
              <w:t>1项</w:t>
            </w:r>
            <w:r>
              <w:rPr>
                <w:rFonts w:hint="eastAsia" w:ascii="Times New Roman" w:hAnsi="Times New Roman" w:cs="Times New Roman"/>
                <w:lang w:val="en-US" w:eastAsia="zh-CN"/>
              </w:rPr>
              <w:t>：现场作业人员未配戴相应的劳动防护用品</w:t>
            </w:r>
            <w:r>
              <w:rPr>
                <w:rFonts w:hint="eastAsia" w:cs="Times New Roman"/>
                <w:lang w:val="en-US" w:eastAsia="zh-CN"/>
              </w:rPr>
              <w:t>，</w:t>
            </w:r>
            <w:r>
              <w:rPr>
                <w:rFonts w:hint="eastAsia" w:ascii="Times New Roman" w:hAnsi="Times New Roman" w:cs="Times New Roman"/>
                <w:lang w:val="en-US" w:eastAsia="zh-CN"/>
              </w:rPr>
              <w:t>不符合条款依据正确，且均已完成整改并验证有效，与现场审核发现的情况吻合。</w:t>
            </w:r>
          </w:p>
          <w:p>
            <w:pPr>
              <w:ind w:firstLine="420" w:firstLineChars="200"/>
              <w:jc w:val="left"/>
              <w:rPr>
                <w:rFonts w:hint="default" w:ascii="Times New Roman" w:hAnsi="Times New Roman" w:cs="Times New Roman"/>
                <w:lang w:val="en-US" w:eastAsia="zh-CN"/>
              </w:rPr>
            </w:pPr>
            <w:r>
              <w:rPr>
                <w:rFonts w:hint="eastAsia" w:ascii="Times New Roman" w:hAnsi="Times New Roman" w:cs="Times New Roman"/>
                <w:lang w:val="en-US" w:eastAsia="zh-CN"/>
              </w:rPr>
              <w:t>查《内审报告》中内部审核结论记录如下：本次内审发现</w:t>
            </w:r>
            <w:r>
              <w:rPr>
                <w:rFonts w:hint="eastAsia" w:cs="Times New Roman"/>
                <w:lang w:val="en-US" w:eastAsia="zh-CN"/>
              </w:rPr>
              <w:t>1</w:t>
            </w:r>
            <w:r>
              <w:rPr>
                <w:rFonts w:hint="eastAsia" w:ascii="Times New Roman" w:hAnsi="Times New Roman" w:cs="Times New Roman"/>
                <w:lang w:val="en-US" w:eastAsia="zh-CN"/>
              </w:rPr>
              <w:t>个一般不符合项，属一般不符合，总体结论：管理体系适宜、充分、有效。</w:t>
            </w:r>
          </w:p>
          <w:p>
            <w:pPr>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综上，组织的内部审核控制基本有效。</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不合格和纠正措施</w:t>
            </w:r>
          </w:p>
          <w:p>
            <w:pPr>
              <w:ind w:firstLine="420" w:firstLineChars="200"/>
              <w:jc w:val="left"/>
              <w:rPr>
                <w:rFonts w:hint="eastAsia" w:ascii="Times New Roman" w:hAnsi="Times New Roman" w:cs="Times New Roman"/>
                <w:lang w:val="en-US" w:eastAsia="zh-CN"/>
              </w:rPr>
            </w:pPr>
          </w:p>
        </w:tc>
        <w:tc>
          <w:tcPr>
            <w:tcW w:w="1272" w:type="dxa"/>
          </w:tcPr>
          <w:p>
            <w:pPr>
              <w:jc w:val="left"/>
              <w:rPr>
                <w:rFonts w:hint="eastAsia" w:ascii="Times New Roman" w:hAnsi="Times New Roman" w:cs="Times New Roman"/>
                <w:lang w:val="en-US" w:eastAsia="zh-CN"/>
              </w:rPr>
            </w:pPr>
            <w:r>
              <w:rPr>
                <w:rFonts w:hint="eastAsia" w:ascii="Times New Roman" w:hAnsi="Times New Roman" w:cs="Times New Roman"/>
                <w:lang w:val="en-US" w:eastAsia="zh-CN"/>
              </w:rPr>
              <w:t>QEO10.2</w:t>
            </w:r>
          </w:p>
          <w:p>
            <w:pPr>
              <w:ind w:firstLine="420" w:firstLineChars="200"/>
              <w:jc w:val="left"/>
              <w:rPr>
                <w:rFonts w:hint="eastAsia" w:ascii="Times New Roman" w:hAnsi="Times New Roman" w:cs="Times New Roman"/>
                <w:lang w:val="en-US" w:eastAsia="zh-CN"/>
              </w:rPr>
            </w:pPr>
          </w:p>
          <w:p>
            <w:pPr>
              <w:ind w:firstLine="420" w:firstLineChars="200"/>
              <w:jc w:val="left"/>
              <w:rPr>
                <w:rFonts w:hint="eastAsia" w:ascii="Times New Roman" w:hAnsi="Times New Roman" w:cs="Times New Roman"/>
                <w:lang w:val="en-US" w:eastAsia="zh-CN"/>
              </w:rPr>
            </w:pPr>
          </w:p>
        </w:tc>
        <w:tc>
          <w:tcPr>
            <w:tcW w:w="10455" w:type="dxa"/>
            <w:vAlign w:val="center"/>
          </w:tcPr>
          <w:p>
            <w:pPr>
              <w:ind w:firstLine="420" w:firstLineChars="200"/>
              <w:jc w:val="left"/>
              <w:rPr>
                <w:rFonts w:hint="default"/>
                <w:lang w:val="en-US" w:eastAsia="zh-CN"/>
              </w:rPr>
            </w:pPr>
            <w:r>
              <w:rPr>
                <w:rFonts w:hint="eastAsia"/>
                <w:lang w:val="en-US" w:eastAsia="zh-CN"/>
              </w:rPr>
              <w:t>行政部负责人石美军介绍：组织在运行过程中对发现的不合格都会采取纠正措施，分析原因，举一反三地看待其他部门或类似过程，采取预防措施以防止发生不合格或不符合。</w:t>
            </w:r>
          </w:p>
          <w:p>
            <w:pPr>
              <w:ind w:firstLine="420" w:firstLineChars="200"/>
              <w:jc w:val="left"/>
              <w:rPr>
                <w:rFonts w:hint="eastAsia"/>
                <w:lang w:val="en-US" w:eastAsia="zh-CN"/>
              </w:rPr>
            </w:pPr>
            <w:r>
              <w:rPr>
                <w:rFonts w:hint="eastAsia"/>
                <w:lang w:val="en-US" w:eastAsia="zh-CN"/>
              </w:rPr>
              <w:t>组织内审时发现的不符合项进行的原因分析、纠正措施和验证均能满足改进要求。组织内审时未发现行政部有不符合及其整改记录，其它纠正措施记录见市场部、质检部和生产部QEO10.2。</w:t>
            </w:r>
          </w:p>
          <w:p>
            <w:pPr>
              <w:bidi w:val="0"/>
              <w:rPr>
                <w:rFonts w:hint="default"/>
                <w:lang w:val="en-US" w:eastAsia="zh-CN"/>
              </w:rPr>
            </w:pPr>
            <w:r>
              <w:rPr>
                <w:rFonts w:hint="eastAsia"/>
                <w:lang w:val="en-US" w:eastAsia="zh-CN"/>
              </w:rPr>
              <w:t xml:space="preserve">    组织外审的不符合及其纠正措施记录见此次审核的不符合报告记录。</w:t>
            </w:r>
          </w:p>
        </w:tc>
        <w:tc>
          <w:tcPr>
            <w:tcW w:w="1134" w:type="dxa"/>
          </w:tcPr>
          <w:p>
            <w:pPr>
              <w:rPr>
                <w:rFonts w:ascii="楷体" w:hAnsi="楷体" w:eastAsia="楷体"/>
                <w:color w:val="FF0000"/>
                <w:sz w:val="24"/>
                <w:szCs w:val="24"/>
              </w:rPr>
            </w:pP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p>
      <w:pPr>
        <w:rPr>
          <w:rFonts w:ascii="楷体" w:hAnsi="楷体" w:eastAsia="楷体"/>
        </w:rPr>
      </w:pPr>
      <w:r>
        <w:rPr>
          <w:rFonts w:ascii="楷体" w:hAnsi="楷体" w:eastAsia="楷体"/>
        </w:rPr>
        <w:ptab w:relativeTo="margin" w:alignment="center" w:leader="none"/>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657075"/>
    <w:rsid w:val="03B05DD2"/>
    <w:rsid w:val="04975E7B"/>
    <w:rsid w:val="052B23E6"/>
    <w:rsid w:val="05483AD3"/>
    <w:rsid w:val="05F95B1B"/>
    <w:rsid w:val="061137A1"/>
    <w:rsid w:val="07247D46"/>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54B63E3"/>
    <w:rsid w:val="15C96FDF"/>
    <w:rsid w:val="15E74CB1"/>
    <w:rsid w:val="15FE473B"/>
    <w:rsid w:val="16390CF7"/>
    <w:rsid w:val="16EA49EA"/>
    <w:rsid w:val="18D4070E"/>
    <w:rsid w:val="194574E2"/>
    <w:rsid w:val="198B71C0"/>
    <w:rsid w:val="19D770FB"/>
    <w:rsid w:val="1A5C1888"/>
    <w:rsid w:val="1AD81C90"/>
    <w:rsid w:val="1B5D7D5F"/>
    <w:rsid w:val="1B777320"/>
    <w:rsid w:val="1C42303D"/>
    <w:rsid w:val="1C9B31A0"/>
    <w:rsid w:val="1D807E56"/>
    <w:rsid w:val="1DAA77A7"/>
    <w:rsid w:val="1DC8247E"/>
    <w:rsid w:val="1E5344F9"/>
    <w:rsid w:val="1F4C5B16"/>
    <w:rsid w:val="1F6E4C84"/>
    <w:rsid w:val="1F996119"/>
    <w:rsid w:val="1FBC708E"/>
    <w:rsid w:val="201E1C07"/>
    <w:rsid w:val="2171736E"/>
    <w:rsid w:val="22C27589"/>
    <w:rsid w:val="22DA67A0"/>
    <w:rsid w:val="231B7E62"/>
    <w:rsid w:val="23646952"/>
    <w:rsid w:val="24114171"/>
    <w:rsid w:val="243702D0"/>
    <w:rsid w:val="261E6BA2"/>
    <w:rsid w:val="26656CB7"/>
    <w:rsid w:val="27764507"/>
    <w:rsid w:val="28494E93"/>
    <w:rsid w:val="2A067935"/>
    <w:rsid w:val="2A731D21"/>
    <w:rsid w:val="2A904FAE"/>
    <w:rsid w:val="2AAF76B8"/>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44A614D"/>
    <w:rsid w:val="356857B7"/>
    <w:rsid w:val="362C0724"/>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E26C61"/>
    <w:rsid w:val="442059FF"/>
    <w:rsid w:val="448E28BE"/>
    <w:rsid w:val="453716C0"/>
    <w:rsid w:val="4670316E"/>
    <w:rsid w:val="46FC4B66"/>
    <w:rsid w:val="47421B61"/>
    <w:rsid w:val="47481C65"/>
    <w:rsid w:val="478C44AF"/>
    <w:rsid w:val="47C85858"/>
    <w:rsid w:val="47D93B88"/>
    <w:rsid w:val="49B33B03"/>
    <w:rsid w:val="4A647FF2"/>
    <w:rsid w:val="4A830AC5"/>
    <w:rsid w:val="4BB25432"/>
    <w:rsid w:val="4C4F6AC2"/>
    <w:rsid w:val="4D68038A"/>
    <w:rsid w:val="4D7F735C"/>
    <w:rsid w:val="4DC51F87"/>
    <w:rsid w:val="4EBD565D"/>
    <w:rsid w:val="4F3972CB"/>
    <w:rsid w:val="4FF0324F"/>
    <w:rsid w:val="500F2621"/>
    <w:rsid w:val="50154C45"/>
    <w:rsid w:val="50377F99"/>
    <w:rsid w:val="512A5B18"/>
    <w:rsid w:val="516E1798"/>
    <w:rsid w:val="52963C65"/>
    <w:rsid w:val="530E4AC4"/>
    <w:rsid w:val="53861634"/>
    <w:rsid w:val="53966D85"/>
    <w:rsid w:val="54290122"/>
    <w:rsid w:val="542D0BF9"/>
    <w:rsid w:val="54327F61"/>
    <w:rsid w:val="56460F02"/>
    <w:rsid w:val="56542BED"/>
    <w:rsid w:val="567F4699"/>
    <w:rsid w:val="56910EF7"/>
    <w:rsid w:val="577E1B28"/>
    <w:rsid w:val="57D12048"/>
    <w:rsid w:val="58092875"/>
    <w:rsid w:val="583F5B32"/>
    <w:rsid w:val="587753D7"/>
    <w:rsid w:val="591B3840"/>
    <w:rsid w:val="5936505F"/>
    <w:rsid w:val="59535F02"/>
    <w:rsid w:val="596F610E"/>
    <w:rsid w:val="5D186A5C"/>
    <w:rsid w:val="5EA12B9A"/>
    <w:rsid w:val="5EC61592"/>
    <w:rsid w:val="6024544B"/>
    <w:rsid w:val="60766BA9"/>
    <w:rsid w:val="60FD418F"/>
    <w:rsid w:val="616930CE"/>
    <w:rsid w:val="61694DA6"/>
    <w:rsid w:val="61D90FCD"/>
    <w:rsid w:val="625C4267"/>
    <w:rsid w:val="62701F28"/>
    <w:rsid w:val="62F41C7A"/>
    <w:rsid w:val="6374344C"/>
    <w:rsid w:val="63B65B26"/>
    <w:rsid w:val="64542FE8"/>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35433"/>
    <w:rsid w:val="71FE51BE"/>
    <w:rsid w:val="72786FBF"/>
    <w:rsid w:val="72DB435C"/>
    <w:rsid w:val="72EA1F3A"/>
    <w:rsid w:val="73A1682D"/>
    <w:rsid w:val="73E14564"/>
    <w:rsid w:val="74285A1A"/>
    <w:rsid w:val="74370371"/>
    <w:rsid w:val="74DB24E3"/>
    <w:rsid w:val="74DC0BDB"/>
    <w:rsid w:val="74FF6217"/>
    <w:rsid w:val="75CD1CA7"/>
    <w:rsid w:val="75FF5579"/>
    <w:rsid w:val="79314CD6"/>
    <w:rsid w:val="7A3B334A"/>
    <w:rsid w:val="7BF1538F"/>
    <w:rsid w:val="7C4F6B44"/>
    <w:rsid w:val="7F1F4828"/>
    <w:rsid w:val="7F2A6DE5"/>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Plain Text"/>
    <w:basedOn w:val="1"/>
    <w:link w:val="23"/>
    <w:qFormat/>
    <w:uiPriority w:val="0"/>
    <w:rPr>
      <w:rFonts w:ascii="宋体" w:hAnsi="Courier New"/>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眉 Char"/>
    <w:basedOn w:val="13"/>
    <w:link w:val="9"/>
    <w:qFormat/>
    <w:uiPriority w:val="0"/>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3"/>
    <w:qFormat/>
    <w:uiPriority w:val="0"/>
    <w:rPr>
      <w:rFonts w:hint="eastAsia" w:ascii="宋体" w:hAnsi="宋体" w:eastAsia="宋体"/>
      <w:color w:val="000000"/>
      <w:sz w:val="24"/>
      <w:szCs w:val="24"/>
    </w:rPr>
  </w:style>
  <w:style w:type="character" w:customStyle="1" w:styleId="20">
    <w:name w:val="fontstyle21"/>
    <w:basedOn w:val="13"/>
    <w:qFormat/>
    <w:uiPriority w:val="0"/>
    <w:rPr>
      <w:rFonts w:hint="default" w:ascii="Times New Roman" w:hAnsi="Times New Roman" w:cs="Times New Roman"/>
      <w:color w:val="000000"/>
      <w:sz w:val="24"/>
      <w:szCs w:val="24"/>
    </w:rPr>
  </w:style>
  <w:style w:type="character" w:customStyle="1" w:styleId="21">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3"/>
    <w:link w:val="5"/>
    <w:qFormat/>
    <w:uiPriority w:val="99"/>
    <w:rPr>
      <w:rFonts w:ascii="Times New Roman" w:hAnsi="Times New Roman" w:eastAsia="宋体" w:cs="Times New Roman"/>
      <w:kern w:val="2"/>
      <w:sz w:val="24"/>
    </w:rPr>
  </w:style>
  <w:style w:type="character" w:customStyle="1" w:styleId="23">
    <w:name w:val="纯文本 Char"/>
    <w:basedOn w:val="13"/>
    <w:link w:val="6"/>
    <w:qFormat/>
    <w:uiPriority w:val="0"/>
    <w:rPr>
      <w:rFonts w:ascii="宋体" w:hAnsi="Courier New" w:eastAsia="宋体" w:cs="Times New Roman"/>
      <w:kern w:val="2"/>
      <w:sz w:val="21"/>
    </w:rPr>
  </w:style>
  <w:style w:type="character" w:customStyle="1" w:styleId="24">
    <w:name w:val="标题 Char"/>
    <w:basedOn w:val="13"/>
    <w:link w:val="10"/>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3959</Words>
  <Characters>4222</Characters>
  <Lines>29</Lines>
  <Paragraphs>8</Paragraphs>
  <TotalTime>1</TotalTime>
  <ScaleCrop>false</ScaleCrop>
  <LinksUpToDate>false</LinksUpToDate>
  <CharactersWithSpaces>4441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2022-11-08T08:03:34Z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30BC6D8ECF9F4EFE95069C4AD9D59F71</vt:lpwstr>
  </property>
</Properties>
</file>