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633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33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4" w:type="dxa"/>
            <w:vMerge w:val="restart"/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采购部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负责人：陈书和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施莉芬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14" w:type="dxa"/>
            <w:vMerge w:val="continue"/>
            <w:shd w:val="clear" w:color="auto" w:fill="auto"/>
            <w:vAlign w:val="center"/>
          </w:tcPr>
          <w:p/>
        </w:tc>
        <w:tc>
          <w:tcPr>
            <w:tcW w:w="1330" w:type="dxa"/>
            <w:vMerge w:val="continue"/>
            <w:shd w:val="clear" w:color="auto" w:fill="auto"/>
            <w:vAlign w:val="center"/>
          </w:tcPr>
          <w:p/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2022-10-25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4" w:type="dxa"/>
            <w:vMerge w:val="continue"/>
            <w:shd w:val="clear" w:color="auto" w:fill="auto"/>
            <w:vAlign w:val="center"/>
          </w:tcPr>
          <w:p/>
        </w:tc>
        <w:tc>
          <w:tcPr>
            <w:tcW w:w="1330" w:type="dxa"/>
            <w:vMerge w:val="continue"/>
            <w:shd w:val="clear" w:color="auto" w:fill="auto"/>
            <w:vAlign w:val="center"/>
          </w:tcPr>
          <w:p/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Q：5.3/6.2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8.4/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3.5/3.12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组织的岗位、职责和权限</w:t>
            </w: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5.3</w:t>
            </w:r>
          </w:p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H(V1.0)2.5.1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如：管理手册第5.3章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主要负责人员供方管理、采购过程中不合格品的管理，参与进行内审、参与管评等工作。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质量/食品安全目标及其实现的策划</w:t>
            </w: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Q6.2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手册第6.2条款、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《质量和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食品</w:t>
            </w:r>
            <w:r>
              <w:rPr>
                <w:rFonts w:hint="eastAsia"/>
                <w:lang w:val="en-US" w:eastAsia="zh-CN"/>
              </w:rPr>
              <w:t>目标考核统计表》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/>
                <w:color w:val="0000FF"/>
                <w:u w:val="single"/>
                <w:vertAlign w:val="baseline"/>
                <w:lang w:eastAsia="zh-CN"/>
              </w:rPr>
            </w:pPr>
            <w:r>
              <w:rPr>
                <w:rFonts w:hint="eastAsia"/>
                <w:color w:val="0000FF"/>
                <w:u w:val="single"/>
                <w:vertAlign w:val="baseline"/>
              </w:rPr>
              <w:t>组织建立</w:t>
            </w:r>
            <w:r>
              <w:rPr>
                <w:rFonts w:hint="eastAsia"/>
                <w:color w:val="0000FF"/>
                <w:u w:val="single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color w:val="0000FF"/>
                <w:u w:val="single"/>
                <w:vertAlign w:val="baseline"/>
              </w:rPr>
              <w:t>目标。</w:t>
            </w:r>
          </w:p>
          <w:p>
            <w:pPr>
              <w:spacing w:line="360" w:lineRule="auto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组织建立了与食品安全方针一致、与合规义务相适宜的文件化的食品安全目标。为实现总食品安全目标而建立的各层级食品安全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/质量</w:t>
            </w:r>
            <w:r>
              <w:rPr>
                <w:rFonts w:hint="eastAsia"/>
                <w:color w:val="0000FF"/>
                <w:u w:val="single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本部门</w:t>
            </w:r>
            <w:r>
              <w:rPr>
                <w:rFonts w:hint="eastAsia"/>
                <w:vertAlign w:val="baseline"/>
                <w:lang w:eastAsia="zh-CN"/>
              </w:rPr>
              <w:t>质量</w:t>
            </w:r>
            <w:r>
              <w:rPr>
                <w:rFonts w:hint="eastAsia"/>
                <w:vertAlign w:val="baseline"/>
                <w:lang w:val="en-US" w:eastAsia="zh-CN"/>
              </w:rPr>
              <w:t>/食品安全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2291"/>
              <w:gridCol w:w="1567"/>
              <w:gridCol w:w="24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质量/食品安全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目标实际完成（2022.06-2022.08）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1、采购产品到货及时率1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291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未明确，已与企业沟通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采购部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1、采购产品到货及时率：1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2、合格供方采购率1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291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未明确，已与企业沟通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采购部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>
                  <w:pPr>
                    <w:ind w:left="360" w:leftChars="0" w:hanging="360" w:hangingChars="200"/>
                    <w:rPr>
                      <w:rFonts w:hint="default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2、合格供方采购率：1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eastAsia="zh-CN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12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H(V1.0）3.5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外部提供的过程、产品和服务</w:t>
            </w:r>
            <w:r>
              <w:rPr>
                <w:rFonts w:hint="eastAsia"/>
                <w:lang w:val="en-US" w:eastAsia="zh-CN"/>
              </w:rPr>
              <w:t>包括：</w:t>
            </w:r>
          </w:p>
          <w:p>
            <w:pPr>
              <w:ind w:left="210" w:leftChars="1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原材料采购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产品的设计和开发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产品检测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某加工工序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部分产品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工装订制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设备维修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运输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售后服务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不合格品处置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顾客满意调查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从《合格供方名单》中抽取下列证据：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抽查新外部供方的评价记录名称：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合格供应商名录   》6家，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未将电梯维保、病虫害防治的供方列入，已与企业沟通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9"/>
              <w:gridCol w:w="71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89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杭州富尚食品有限公司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猪肉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9133011069980348XA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《食品生产证书》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vertAlign w:val="baseline"/>
                      <w:lang w:val="en-US" w:eastAsia="zh-CN"/>
                    </w:rPr>
                    <w:t>——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其他_猪肉检测报告编号：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WF2203147，报告日期：2022-07-05日，检测单位:浙江国正检测技术有限公司，克伦特罗、沙丁胺醇、氯霉素、氟苯尼考等；检测结论：检测项目符合要求。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符合合格供方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桐庐县华统食品有限公司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猪肉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91330122MA2GK9UU5N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生猪定点屠宰证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浙航屠准字014号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动物防疫条件合格证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（浙桐）动防合字第2019000号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其他_猪肉检测报告编号：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WF2203683，报告日期：2022-07-27日，检测单位:浙江国正检测技术有限公司，克伦特罗、沙丁胺醇、氯霉素、氟苯尼考等；检测结论：检测项目符合要求。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满足合格供方要求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不符合合格供方要求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0000FF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>车辆维保到泸州县分水镇百信汽车修理厂（营业执照编号：92330122MA28XJ8N9Q）进行，提供有《桐庐绿合汽车维修保养记录表》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内包材（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吸水垫及塑料一次性餐饮具、</w:t>
            </w:r>
            <w:r>
              <w:rPr>
                <w:rFonts w:hint="eastAsia"/>
                <w:u w:val="single"/>
                <w:lang w:val="en-US" w:eastAsia="zh-CN"/>
              </w:rPr>
              <w:t xml:space="preserve">高阻隔PP生鲜托盒） </w:t>
            </w:r>
            <w:r>
              <w:rPr>
                <w:rFonts w:hint="eastAsia"/>
                <w:lang w:val="en-US" w:eastAsia="zh-CN"/>
              </w:rPr>
              <w:t xml:space="preserve">的供方 </w:t>
            </w:r>
            <w:r>
              <w:rPr>
                <w:rFonts w:hint="eastAsia"/>
                <w:u w:val="single"/>
                <w:lang w:val="en-US" w:eastAsia="zh-CN"/>
              </w:rPr>
              <w:t>福莱嘉包装科技（上海）有限公司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 xml:space="preserve">食品级润滑油 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湖南中拙化工有限责任公司；消毒液 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上海卫臻医疗器械有限公司；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/>
                <w:u w:val="single"/>
                <w:lang w:val="en-US" w:eastAsia="zh-CN"/>
              </w:rPr>
              <w:t xml:space="preserve">虫害消杀服务 （签订防治合同，服务时间2022-05-01至2023-04-30） 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桐庐卫邦有限生物防治有限公司；电梯维保服务（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服务时间2021-10-25至2022-10-24，刚刚到期，已现场沟通）</w:t>
            </w:r>
            <w:r>
              <w:rPr>
                <w:rFonts w:hint="eastAsia"/>
                <w:lang w:val="en-US" w:eastAsia="zh-CN"/>
              </w:rPr>
              <w:t xml:space="preserve">的供方 </w:t>
            </w:r>
            <w:r>
              <w:rPr>
                <w:rFonts w:hint="eastAsia"/>
                <w:u w:val="single"/>
                <w:lang w:val="en-US" w:eastAsia="zh-CN"/>
              </w:rPr>
              <w:t xml:space="preserve">杭州雄新电梯有限公司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；</w:t>
            </w:r>
            <w:bookmarkEnd w:id="0"/>
            <w:r>
              <w:rPr>
                <w:rFonts w:hint="eastAsia"/>
                <w:highlight w:val="none"/>
                <w:lang w:val="en-US" w:eastAsia="zh-CN"/>
              </w:rPr>
              <w:t>与上述供方评价和选择控制情况。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一致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不充分，说明：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抽查老外部供方的评价记录名称：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《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 xml:space="preserve"> ——首次导入不涉及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提供产品、过程和服务的</w:t>
                  </w:r>
                  <w:r>
                    <w:rPr>
                      <w:rFonts w:hint="eastAsia"/>
                    </w:rPr>
                    <w:t>绩效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继续为合格供方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不继续为合格供方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u w:val="single"/>
                      <w:lang w:val="en-US" w:eastAsia="zh-CN"/>
                    </w:rPr>
                    <w:t xml:space="preserve"> ——首次导入不涉及  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提供产品、过程和服务的</w:t>
                  </w:r>
                  <w:r>
                    <w:rPr>
                      <w:rFonts w:hint="eastAsia"/>
                    </w:rPr>
                    <w:t>绩效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继续为合格供方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不继续为合格供方</w:t>
                  </w:r>
                </w:p>
              </w:tc>
            </w:tr>
          </w:tbl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DDD有限公司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EEE有限公司</w:t>
            </w:r>
            <w:r>
              <w:rPr>
                <w:rFonts w:hint="eastAsia"/>
                <w:lang w:val="en-US" w:eastAsia="zh-CN"/>
              </w:rPr>
              <w:t xml:space="preserve"> 与上述供方评价和选择控制情况。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一致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在生产现场和库房确认有是否有是从非合格供方处采购的材料。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没有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控制类型和程度</w:t>
            </w:r>
          </w:p>
          <w:p>
            <w:pPr>
              <w:rPr>
                <w:rFonts w:hint="eastAsia"/>
              </w:rPr>
            </w:pP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8.4.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H(V1.0）3.5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>对供方控制的类型和程度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抽查重要供方的评价记录名称：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   供方评价表   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福莱嘉包装科技（上海）有限公司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 w:eastAsia="宋体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内包材（</w:t>
                  </w:r>
                  <w:r>
                    <w:rPr>
                      <w:rFonts w:hint="eastAsia"/>
                      <w:highlight w:val="none"/>
                      <w:u w:val="none"/>
                      <w:lang w:val="en-US" w:eastAsia="zh-CN"/>
                    </w:rPr>
                    <w:t>吸水垫及塑料一次性餐饮具、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高阻隔PP生鲜托盒）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6" w:hRule="atLeast"/>
              </w:trPr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价格、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产品质量、设备水平和状况、测量系统、技术水平、人员素质和能力、信誉、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对供方控制有效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rPr>
                <w:rFonts w:hint="eastAsia"/>
                <w:lang w:eastAsia="zh-CN"/>
              </w:rPr>
            </w:pP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杭州富尚食品有限公司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猪肉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价格、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产品质量、设备水平和状况、测量系统、技术水平、人员素质和能力、信誉、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对供方控制有效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</w:rPr>
              <w:t>提供给外部供方的信息</w:t>
            </w:r>
          </w:p>
        </w:tc>
        <w:tc>
          <w:tcPr>
            <w:tcW w:w="1330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8.4.3 </w:t>
            </w:r>
          </w:p>
        </w:tc>
        <w:tc>
          <w:tcPr>
            <w:tcW w:w="745" w:type="dxa"/>
            <w:shd w:val="clear" w:color="auto" w:fill="EBF1DE" w:themeFill="accent3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EBF1DE" w:themeFill="accent3" w:themeFillTint="32"/>
          </w:tcPr>
          <w:p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4" w:type="dxa"/>
            <w:vMerge w:val="continue"/>
            <w:shd w:val="clear" w:color="auto" w:fill="EBF1DE" w:themeFill="accent3" w:themeFillTint="32"/>
          </w:tcPr>
          <w:p/>
        </w:tc>
        <w:tc>
          <w:tcPr>
            <w:tcW w:w="1330" w:type="dxa"/>
            <w:vMerge w:val="continue"/>
            <w:shd w:val="clear" w:color="auto" w:fill="EBF1DE" w:themeFill="accent3" w:themeFillTint="32"/>
          </w:tcPr>
          <w:p/>
        </w:tc>
        <w:tc>
          <w:tcPr>
            <w:tcW w:w="745" w:type="dxa"/>
            <w:shd w:val="clear" w:color="auto" w:fill="EBF1DE" w:themeFill="accent3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EBF1DE" w:themeFill="accent3" w:themeFillTint="32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在与外部供方沟通之前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所确定的要求是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充分</w:t>
            </w:r>
            <w:r>
              <w:rPr>
                <w:rFonts w:hint="eastAsia"/>
              </w:rPr>
              <w:t>适宜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不充分</w:t>
            </w:r>
            <w:r>
              <w:rPr>
                <w:rFonts w:hint="eastAsia"/>
              </w:rPr>
              <w:t>适宜</w:t>
            </w:r>
            <w:r>
              <w:rPr>
                <w:rFonts w:hint="eastAsia"/>
                <w:lang w:val="en-US" w:eastAsia="zh-CN"/>
              </w:rPr>
              <w:t xml:space="preserve">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充分和的。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抽查《采购</w:t>
            </w: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及《采购计划》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highlight w:val="none"/>
                <w:u w:val="single"/>
              </w:rPr>
              <w:t>组织与外部供方沟通以下要求：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1994"/>
              <w:gridCol w:w="2242"/>
              <w:gridCol w:w="17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采购订单号/日期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2022年10月20  日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2022年8月22 日</w:t>
                  </w:r>
                </w:p>
              </w:tc>
              <w:tc>
                <w:tcPr>
                  <w:tcW w:w="17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年  月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夹心肉、梅花肉、大排等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包材（气调盒+吸水软垫）</w:t>
                  </w:r>
                </w:p>
              </w:tc>
              <w:tc>
                <w:tcPr>
                  <w:tcW w:w="17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——（过程）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要求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符合产品标准要求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符合产品标准要求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批准</w:t>
                  </w:r>
                  <w:r>
                    <w:rPr>
                      <w:rFonts w:hint="eastAsia"/>
                      <w:highlight w:val="none"/>
                    </w:rPr>
                    <w:t xml:space="preserve">； 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方法、过程和设备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的批准</w:t>
                  </w:r>
                  <w:r>
                    <w:rPr>
                      <w:rFonts w:hint="eastAsia"/>
                      <w:highlight w:val="none"/>
                    </w:rPr>
                    <w:t>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生产部经理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生产部经理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产品和服务的放行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的批准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生产部-质量组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生产部-质量组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能力，包括所要求的人员资格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综管部经理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综管部经理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外部供方与组织的互动；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供方送货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供方送货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组织使用的外部供方绩效的控制和监视；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供方评价</w:t>
                  </w:r>
                </w:p>
              </w:tc>
              <w:tc>
                <w:tcPr>
                  <w:tcW w:w="224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供方评价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组织或其顾客拟在外部供方现场实施的验证或确认活动。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224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176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4" w:type="dxa"/>
            <w:vMerge w:val="restart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食品欺诈预防</w:t>
            </w:r>
          </w:p>
        </w:tc>
        <w:tc>
          <w:tcPr>
            <w:tcW w:w="1330" w:type="dxa"/>
            <w:vMerge w:val="restart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(V1.0)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3.12</w:t>
            </w:r>
          </w:p>
        </w:tc>
        <w:tc>
          <w:tcPr>
            <w:tcW w:w="745" w:type="dxa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EBF1DE" w:themeFill="accent3" w:themeFillTint="32"/>
            <w:noWrap w:val="0"/>
            <w:vAlign w:val="top"/>
          </w:tcPr>
          <w:p>
            <w:r>
              <w:rPr/>
              <w:sym w:font="Wingdings" w:char="F0FE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t>理手册</w:t>
            </w:r>
            <w:r>
              <w:rPr>
                <w:rFonts w:hint="eastAsia"/>
                <w:lang w:val="en-US" w:eastAsia="zh-CN"/>
              </w:rPr>
              <w:t>第8.12条款，</w:t>
            </w:r>
            <w:r>
              <w:rPr/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《预防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食品</w:t>
            </w:r>
            <w:r>
              <w:rPr>
                <w:rFonts w:hint="eastAsia"/>
                <w:color w:val="000000"/>
                <w:szCs w:val="21"/>
              </w:rPr>
              <w:t>欺诈控制程序》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714" w:type="dxa"/>
            <w:vMerge w:val="continue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vMerge w:val="continue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dxa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运行证据</w:t>
            </w:r>
          </w:p>
        </w:tc>
        <w:tc>
          <w:tcPr>
            <w:tcW w:w="9259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建立了《预防食品欺诈控制程序》。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要求每年对原辅料欺诈预防进行一次评估。——见“HACCP小组审核记录”</w:t>
            </w:r>
          </w:p>
          <w:p>
            <w:pPr>
              <w:rPr>
                <w:rFonts w:hint="eastAsia" w:ascii="宋体" w:hAnsi="宋体"/>
                <w:color w:val="0000FF"/>
                <w:szCs w:val="21"/>
                <w:u w:val="single"/>
              </w:rPr>
            </w:pPr>
            <w:r>
              <w:rPr>
                <w:rFonts w:hint="eastAsia"/>
              </w:rPr>
              <w:t>a）识别潜在的脆弱环节；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《脆弱性风险评估及控制措施方案》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>通过</w:t>
            </w:r>
            <w:r>
              <w:rPr>
                <w:rFonts w:hint="eastAsia" w:ascii="宋体" w:hAnsi="宋体"/>
                <w:color w:val="0000FF"/>
                <w:szCs w:val="21"/>
                <w:u w:val="single"/>
                <w:lang w:val="en-US" w:eastAsia="zh-CN"/>
              </w:rPr>
              <w:t xml:space="preserve"> 评估，原料片肉的综合风险等级判定为高，需要通过方案一</w:t>
            </w:r>
            <w:r>
              <w:rPr>
                <w:rFonts w:ascii="宋体" w:hAnsi="宋体"/>
                <w:color w:val="0000FF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>方式进行控制。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片肉采购来自合格供方，验收等控制见——生产部审核记录；审核周期内未发生欺诈情况。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kern w:val="2"/>
                <w:sz w:val="21"/>
                <w:lang w:val="en-US" w:eastAsia="zh-CN" w:bidi="ar-SA"/>
              </w:rPr>
            </w:pPr>
          </w:p>
        </w:tc>
      </w:tr>
    </w:tbl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-39370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CB4BBF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CDF665D"/>
    <w:rsid w:val="0D181113"/>
    <w:rsid w:val="0D1E4D9B"/>
    <w:rsid w:val="0D4D1326"/>
    <w:rsid w:val="0D6A2C36"/>
    <w:rsid w:val="0DB35CC0"/>
    <w:rsid w:val="0E49595F"/>
    <w:rsid w:val="0EB8524B"/>
    <w:rsid w:val="0EF9596F"/>
    <w:rsid w:val="0F6B4276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8F423D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11B56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72BF2"/>
    <w:rsid w:val="1AAF33A8"/>
    <w:rsid w:val="1AB42370"/>
    <w:rsid w:val="1ACF1254"/>
    <w:rsid w:val="1AED5B63"/>
    <w:rsid w:val="1B462375"/>
    <w:rsid w:val="1B5E3B97"/>
    <w:rsid w:val="1BDF157A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9425E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936D68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6B5FB9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1350B3"/>
    <w:rsid w:val="343C4522"/>
    <w:rsid w:val="347A0336"/>
    <w:rsid w:val="34F92D63"/>
    <w:rsid w:val="35527F1F"/>
    <w:rsid w:val="357914C0"/>
    <w:rsid w:val="35D721CD"/>
    <w:rsid w:val="36174333"/>
    <w:rsid w:val="36276E93"/>
    <w:rsid w:val="364A3F09"/>
    <w:rsid w:val="36742442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6F90F38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8E8087E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AD16DE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5F6A24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2E2C7F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3F18F8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43"/>
      <w:szCs w:val="43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99"/>
    <w:pPr>
      <w:tabs>
        <w:tab w:val="left" w:pos="540"/>
      </w:tabs>
      <w:spacing w:after="0"/>
      <w:ind w:leftChars="0" w:firstLine="420" w:firstLineChars="200"/>
    </w:pPr>
    <w:rPr>
      <w:rFonts w:ascii="宋体" w:hAnsi="宋体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2022-10-25T04:07:18Z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89360DEA92B445CBA81FD7E5DB0BC9C2</vt:lpwstr>
  </property>
</Properties>
</file>