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0"/>
        <w:gridCol w:w="850"/>
        <w:gridCol w:w="9491"/>
        <w:gridCol w:w="1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1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物流仓储部 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 xml:space="preserve">负责人：华方荣  </w:t>
            </w:r>
            <w:r>
              <w:rPr>
                <w:rFonts w:hint="eastAsia" w:ascii="宋体" w:hAnsi="宋体" w:cs="Arial"/>
                <w:sz w:val="24"/>
                <w:szCs w:val="24"/>
              </w:rPr>
              <w:t xml:space="preserve"> 陪同人员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吕杭</w:t>
            </w:r>
          </w:p>
        </w:tc>
        <w:tc>
          <w:tcPr>
            <w:tcW w:w="1288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3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27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341" w:type="dxa"/>
            <w:gridSpan w:val="2"/>
            <w:shd w:val="clear" w:color="auto" w:fill="FFFFFF" w:themeFill="background1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审核员：任泽华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022-10-25上午</w:t>
            </w:r>
          </w:p>
        </w:tc>
        <w:tc>
          <w:tcPr>
            <w:tcW w:w="1288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843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27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341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Q:</w:t>
            </w:r>
            <w: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5.3/6.2/8.5.4</w:t>
            </w:r>
          </w:p>
          <w:p>
            <w:pPr>
              <w:rPr>
                <w:rFonts w:hint="eastAsia" w:eastAsiaTheme="minorEastAsia"/>
                <w:sz w:val="24"/>
                <w:highlight w:val="yellow"/>
                <w:lang w:eastAsia="zh-CN"/>
              </w:rPr>
            </w:pPr>
            <w:r>
              <w:rPr>
                <w:rFonts w:eastAsiaTheme="minorEastAsia"/>
                <w:sz w:val="24"/>
                <w:szCs w:val="24"/>
              </w:rPr>
              <w:t>H:2.4.2/2.5.1/3.11/3.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3（运输储存）</w:t>
            </w:r>
          </w:p>
        </w:tc>
        <w:tc>
          <w:tcPr>
            <w:tcW w:w="1288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1270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Q5.3</w:t>
            </w:r>
          </w:p>
          <w:p>
            <w:pPr>
              <w:pStyle w:val="13"/>
            </w:pPr>
            <w:r>
              <w:rPr>
                <w:rFonts w:hint="eastAsia"/>
              </w:rPr>
              <w:t>H2.5.1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1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288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3" w:type="dxa"/>
            <w:vMerge w:val="continue"/>
            <w:shd w:val="clear" w:color="auto" w:fill="FFFFFF" w:themeFill="background1"/>
          </w:tcPr>
          <w:p/>
        </w:tc>
        <w:tc>
          <w:tcPr>
            <w:tcW w:w="1270" w:type="dxa"/>
            <w:vMerge w:val="continue"/>
            <w:shd w:val="clear" w:color="auto" w:fill="FFFFFF" w:themeFill="background1"/>
          </w:tcPr>
          <w:p/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1" w:type="dxa"/>
            <w:shd w:val="clear" w:color="auto" w:fill="FFFFFF" w:themeFill="background1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  <w:szCs w:val="21"/>
                <w:u w:val="single"/>
              </w:rPr>
              <w:t>本部门主要负责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仓储及物流配送管理，参与公司的内审、管评确认验证等工作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。</w:t>
            </w:r>
          </w:p>
        </w:tc>
        <w:tc>
          <w:tcPr>
            <w:tcW w:w="1288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/>
        </w:tc>
        <w:tc>
          <w:tcPr>
            <w:tcW w:w="1270" w:type="dxa"/>
            <w:vMerge w:val="restart"/>
            <w:shd w:val="clear" w:color="auto" w:fill="FFFFFF" w:themeFill="background1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  <w:p>
            <w:pPr>
              <w:pStyle w:val="13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H2.4.2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91" w:type="dxa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《质量和食品安全目标策划实施情况检查表 》</w:t>
            </w:r>
          </w:p>
        </w:tc>
        <w:tc>
          <w:tcPr>
            <w:tcW w:w="1288" w:type="dxa"/>
            <w:gridSpan w:val="2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Merge w:val="continue"/>
            <w:shd w:val="clear" w:color="auto" w:fill="FFFFFF" w:themeFill="background1"/>
          </w:tcPr>
          <w:p/>
        </w:tc>
        <w:tc>
          <w:tcPr>
            <w:tcW w:w="1270" w:type="dxa"/>
            <w:vMerge w:val="continue"/>
            <w:shd w:val="clear" w:color="auto" w:fill="FFFFFF" w:themeFill="background1"/>
          </w:tcPr>
          <w:p/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91" w:type="dxa"/>
            <w:shd w:val="clear" w:color="auto" w:fill="FFFFFF" w:themeFill="background1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10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1827"/>
              <w:gridCol w:w="2320"/>
              <w:gridCol w:w="21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623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目标和指标</w:t>
                  </w:r>
                </w:p>
              </w:tc>
              <w:tc>
                <w:tcPr>
                  <w:tcW w:w="986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考核频次</w:t>
                  </w:r>
                </w:p>
              </w:tc>
              <w:tc>
                <w:tcPr>
                  <w:tcW w:w="1252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计算方法</w:t>
                  </w:r>
                </w:p>
              </w:tc>
              <w:tc>
                <w:tcPr>
                  <w:tcW w:w="1136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考核周期（202</w:t>
                  </w:r>
                  <w:r>
                    <w:rPr>
                      <w:rFonts w:ascii="宋体" w:hAnsi="宋体"/>
                      <w:szCs w:val="21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</w:rPr>
                    <w:t>.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Cs w:val="21"/>
                    </w:rPr>
                    <w:t>-2022.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623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、库存状况核查账物卡一致率为100%；</w:t>
                  </w:r>
                </w:p>
              </w:tc>
              <w:tc>
                <w:tcPr>
                  <w:tcW w:w="986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1252" w:type="pct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lang w:eastAsia="zh-CN"/>
                    </w:rPr>
                    <w:t>——</w:t>
                  </w:r>
                </w:p>
              </w:tc>
              <w:tc>
                <w:tcPr>
                  <w:tcW w:w="1136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、库存状况核查账物卡一致率：100%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623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、产品交付及时率≧99%</w:t>
                  </w:r>
                </w:p>
              </w:tc>
              <w:tc>
                <w:tcPr>
                  <w:tcW w:w="986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1252" w:type="pct"/>
                  <w:vAlign w:val="center"/>
                </w:tcPr>
                <w:p>
                  <w:pPr>
                    <w:spacing w:line="260" w:lineRule="exact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lang w:eastAsia="zh-CN"/>
                    </w:rPr>
                    <w:t>——</w:t>
                  </w:r>
                </w:p>
              </w:tc>
              <w:tc>
                <w:tcPr>
                  <w:tcW w:w="1136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、产品交付及时率：100%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623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产品出厂一次交验合格率≧99%</w:t>
                  </w:r>
                </w:p>
              </w:tc>
              <w:tc>
                <w:tcPr>
                  <w:tcW w:w="986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1252" w:type="pct"/>
                  <w:vAlign w:val="center"/>
                </w:tcPr>
                <w:p>
                  <w:pPr>
                    <w:spacing w:line="260" w:lineRule="exact"/>
                    <w:ind w:right="100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lang w:eastAsia="zh-CN"/>
                    </w:rPr>
                    <w:t>——</w:t>
                  </w:r>
                </w:p>
              </w:tc>
              <w:tc>
                <w:tcPr>
                  <w:tcW w:w="1136" w:type="pct"/>
                  <w:vAlign w:val="center"/>
                </w:tcPr>
                <w:p>
                  <w:pPr>
                    <w:ind w:left="360" w:leftChars="0" w:hanging="360" w:hangingChars="200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3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、产品出厂一次交验合格率：100%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623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6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2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6" w:type="pct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  <w:lang w:val="en-US" w:eastAsia="zh-CN"/>
              </w:rPr>
              <w:t>计算方式未明确，已与企业沟通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88" w:type="dxa"/>
            <w:gridSpan w:val="2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43" w:type="dxa"/>
            <w:vMerge w:val="restart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运输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储存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H(V1.0)3.3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>
            <w:pPr>
              <w:pStyle w:val="9"/>
              <w:ind w:left="0" w:firstLine="0" w:firstLineChars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GMP控制程序</w:t>
            </w:r>
            <w:r>
              <w:rPr>
                <w:rFonts w:hint="eastAsia"/>
                <w:highlight w:val="none"/>
              </w:rPr>
              <w:t>》、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《卫生标准操作程序》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  <w:p>
            <w:pPr>
              <w:pStyle w:val="6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43" w:type="dxa"/>
            <w:vMerge w:val="continue"/>
            <w:shd w:val="clear" w:color="auto" w:fill="FFFFFF" w:themeFill="background1"/>
          </w:tcPr>
          <w:p>
            <w:pPr>
              <w:rPr>
                <w:highlight w:val="none"/>
              </w:rPr>
            </w:pPr>
          </w:p>
        </w:tc>
        <w:tc>
          <w:tcPr>
            <w:tcW w:w="1270" w:type="dxa"/>
            <w:vMerge w:val="continue"/>
            <w:shd w:val="clear" w:color="auto" w:fill="FFFFFF" w:themeFill="background1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tbl>
            <w:tblPr>
              <w:tblStyle w:val="11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9"/>
              <w:gridCol w:w="2370"/>
              <w:gridCol w:w="2490"/>
              <w:gridCol w:w="984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与食品接触物品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清洁频次</w:t>
                  </w:r>
                </w:p>
              </w:tc>
              <w:tc>
                <w:tcPr>
                  <w:tcW w:w="24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清洁消毒方法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检查频次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容器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每天使用完毕后进行</w:t>
                  </w:r>
                </w:p>
              </w:tc>
              <w:tc>
                <w:tcPr>
                  <w:tcW w:w="249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水洗/</w:t>
                  </w:r>
                  <w:r>
                    <w:rPr>
                      <w:highlight w:val="none"/>
                    </w:rPr>
                    <w:t>84</w:t>
                  </w:r>
                  <w:r>
                    <w:rPr>
                      <w:rFonts w:hint="eastAsia"/>
                      <w:highlight w:val="none"/>
                    </w:rPr>
                    <w:t>消毒液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/紫外消毒</w:t>
                  </w:r>
                </w:p>
              </w:tc>
              <w:tc>
                <w:tcPr>
                  <w:tcW w:w="984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每天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工器具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每天使用完毕后进行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水洗/</w:t>
                  </w:r>
                  <w:r>
                    <w:rPr>
                      <w:highlight w:val="none"/>
                    </w:rPr>
                    <w:t>84</w:t>
                  </w:r>
                  <w:r>
                    <w:rPr>
                      <w:rFonts w:hint="eastAsia"/>
                      <w:highlight w:val="none"/>
                    </w:rPr>
                    <w:t>消毒液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/紫外消毒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每天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</w:t>
                  </w:r>
                </w:p>
              </w:tc>
              <w:tc>
                <w:tcPr>
                  <w:tcW w:w="237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每天使用完毕后进行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水洗/</w:t>
                  </w:r>
                  <w:r>
                    <w:rPr>
                      <w:highlight w:val="none"/>
                    </w:rPr>
                    <w:t>84</w:t>
                  </w:r>
                  <w:r>
                    <w:rPr>
                      <w:rFonts w:hint="eastAsia"/>
                      <w:highlight w:val="none"/>
                    </w:rPr>
                    <w:t>消毒液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/紫外消毒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每天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车辆</w:t>
                  </w:r>
                </w:p>
              </w:tc>
              <w:tc>
                <w:tcPr>
                  <w:tcW w:w="23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每天使用完毕后进行</w:t>
                  </w: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水洗/</w:t>
                  </w:r>
                  <w:r>
                    <w:rPr>
                      <w:highlight w:val="none"/>
                    </w:rPr>
                    <w:t>84</w:t>
                  </w:r>
                  <w:r>
                    <w:rPr>
                      <w:rFonts w:hint="eastAsia"/>
                      <w:highlight w:val="none"/>
                    </w:rPr>
                    <w:t>消毒液</w:t>
                  </w:r>
                  <w:bookmarkStart w:id="1" w:name="_GoBack"/>
                  <w:bookmarkEnd w:id="1"/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每天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7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7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490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rPr>
                      <w:rFonts w:hint="eastAsia" w:ascii="Calibri" w:hAnsi="Calibri"/>
                      <w:highlight w:val="none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Calibri" w:hAnsi="Calibri"/>
                      <w:highlight w:val="none"/>
                    </w:rPr>
                  </w:pPr>
                </w:p>
              </w:tc>
            </w:tr>
          </w:tbl>
          <w:p>
            <w:pPr>
              <w:pStyle w:val="9"/>
              <w:ind w:left="0" w:firstLine="0" w:firstLineChars="0"/>
              <w:rPr>
                <w:rFonts w:hint="eastAsia"/>
                <w:highlight w:val="none"/>
              </w:rPr>
            </w:pPr>
          </w:p>
          <w:p>
            <w:pPr>
              <w:pStyle w:val="9"/>
              <w:ind w:left="0" w:firstLine="0" w:firstLineChars="0"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食品及食品相关产品应依据性质的不同分设贮存场所，或分区域码放，并有明确标识，防止交叉污染。</w:t>
            </w:r>
          </w:p>
          <w:tbl>
            <w:tblPr>
              <w:tblStyle w:val="11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359"/>
              <w:gridCol w:w="2785"/>
              <w:gridCol w:w="1293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存放位置</w:t>
                  </w:r>
                </w:p>
              </w:tc>
              <w:tc>
                <w:tcPr>
                  <w:tcW w:w="27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标识方法</w:t>
                  </w:r>
                </w:p>
              </w:tc>
              <w:tc>
                <w:tcPr>
                  <w:tcW w:w="129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检查频次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</w:trPr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原料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原料库</w:t>
                  </w:r>
                </w:p>
              </w:tc>
              <w:tc>
                <w:tcPr>
                  <w:tcW w:w="27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分区域存放</w:t>
                  </w:r>
                </w:p>
              </w:tc>
              <w:tc>
                <w:tcPr>
                  <w:tcW w:w="129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不定期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食品添加剂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78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9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半成品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车间暂存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按照工序流转</w:t>
                  </w:r>
                </w:p>
              </w:tc>
              <w:tc>
                <w:tcPr>
                  <w:tcW w:w="27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分区域存放</w:t>
                  </w:r>
                </w:p>
              </w:tc>
              <w:tc>
                <w:tcPr>
                  <w:tcW w:w="1293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不定期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冷藏</w:t>
                  </w:r>
                  <w:r>
                    <w:rPr>
                      <w:rFonts w:hint="eastAsia"/>
                      <w:highlight w:val="none"/>
                    </w:rPr>
                    <w:t>库</w:t>
                  </w:r>
                </w:p>
              </w:tc>
              <w:tc>
                <w:tcPr>
                  <w:tcW w:w="27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分区域存放、标签标示</w:t>
                  </w:r>
                </w:p>
              </w:tc>
              <w:tc>
                <w:tcPr>
                  <w:tcW w:w="129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不定期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A3"/>
                  </w:r>
                  <w:r>
                    <w:rPr>
                      <w:rFonts w:hint="eastAsia" w:ascii="Calibri" w:hAnsi="Calibri"/>
                      <w:highlight w:val="none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包装材料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包材库</w:t>
                  </w:r>
                </w:p>
              </w:tc>
              <w:tc>
                <w:tcPr>
                  <w:tcW w:w="27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分区域存放、标签标示</w:t>
                  </w:r>
                </w:p>
              </w:tc>
              <w:tc>
                <w:tcPr>
                  <w:tcW w:w="1293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不定期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</w:rPr>
                    <w:t>□不足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是否根据食品的特点和卫生需要选择适宜且受控的贮存和运输条件：</w:t>
            </w:r>
          </w:p>
          <w:p>
            <w:pPr>
              <w:ind w:firstLine="420" w:firstLineChars="200"/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保温，温度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0-4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℃，湿度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%</w:t>
            </w:r>
          </w:p>
          <w:p>
            <w:pPr>
              <w:ind w:firstLine="420" w:firstLineChars="200"/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食材：</w:t>
            </w:r>
            <w:r>
              <w:rPr>
                <w:rFonts w:hint="eastAsia" w:ascii="Calibri" w:hAnsi="Calibri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冷藏，温度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0-4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℃，湿度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%</w:t>
            </w:r>
          </w:p>
          <w:p>
            <w:pPr>
              <w:ind w:firstLine="420" w:firstLineChars="200"/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食材/成品：</w:t>
            </w:r>
            <w:r>
              <w:rPr>
                <w:rFonts w:hint="eastAsia" w:ascii="Calibri" w:hAnsi="Calibri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</w:rPr>
              <w:t>冷藏，温度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0-4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</w:rPr>
              <w:t>℃，湿度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%</w:t>
            </w:r>
          </w:p>
          <w:p>
            <w:pPr>
              <w:ind w:firstLine="420" w:firstLineChars="200"/>
              <w:rPr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□</w:t>
            </w:r>
            <w:r>
              <w:rPr>
                <w:rFonts w:hint="eastAsia"/>
                <w:highlight w:val="none"/>
              </w:rPr>
              <w:t>保鲜。温度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℃，湿度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 xml:space="preserve"> %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查看运输管理，《食品运输协议》，内容是否包括：（不适用</w:t>
            </w:r>
            <w:r>
              <w:rPr>
                <w:rFonts w:hint="eastAsia"/>
                <w:highlight w:val="none"/>
                <w:lang w:eastAsia="zh-CN"/>
              </w:rPr>
              <w:t>，</w:t>
            </w:r>
            <w:r>
              <w:rPr>
                <w:rFonts w:hint="eastAsia"/>
                <w:highlight w:val="none"/>
                <w:lang w:val="en-US" w:eastAsia="zh-CN"/>
              </w:rPr>
              <w:t>公司自有冷藏车进行配送）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 xml:space="preserve">要求不得将食品与有毒、有害或有异味的物料一同贮存运输。 </w:t>
            </w:r>
            <w:r>
              <w:rPr>
                <w:rFonts w:hint="eastAsia"/>
                <w:highlight w:val="none"/>
              </w:rPr>
              <w:t xml:space="preserve">      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 w:ascii="Calibri" w:hAnsi="Calibri"/>
                <w:highlight w:val="none"/>
              </w:rPr>
              <w:t>□是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 w:ascii="Calibri" w:hAnsi="Calibri"/>
                <w:highlight w:val="none"/>
              </w:rPr>
              <w:t>□否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运输散装食品的容器和运输工具，应确保食品安全和宜食用性不受影响。</w:t>
            </w:r>
            <w:r>
              <w:rPr>
                <w:rFonts w:hint="eastAsia" w:ascii="Calibri" w:hAnsi="Calibri"/>
                <w:highlight w:val="none"/>
              </w:rPr>
              <w:t>□是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 w:ascii="Calibri" w:hAnsi="Calibri"/>
                <w:highlight w:val="none"/>
              </w:rPr>
              <w:t>□否</w:t>
            </w:r>
          </w:p>
        </w:tc>
        <w:tc>
          <w:tcPr>
            <w:tcW w:w="1275" w:type="dxa"/>
            <w:vMerge w:val="continue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43" w:type="dxa"/>
            <w:vMerge w:val="continue"/>
            <w:shd w:val="clear" w:color="auto" w:fill="FFFFFF" w:themeFill="background1"/>
          </w:tcPr>
          <w:p>
            <w:pPr>
              <w:rPr>
                <w:highlight w:val="none"/>
              </w:rPr>
            </w:pPr>
          </w:p>
        </w:tc>
        <w:tc>
          <w:tcPr>
            <w:tcW w:w="1270" w:type="dxa"/>
            <w:vMerge w:val="continue"/>
            <w:shd w:val="clear" w:color="auto" w:fill="FFFFFF" w:themeFill="background1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现场观察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冷藏车清洁干净，有《运输车辆卫生检查表》，每日进行检查及消毒；</w:t>
            </w: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抽查驾驶证：胡**、毕**，均在有效期内；抽查车辆浙A3W1S5，行驶证在有效期内。</w:t>
            </w:r>
          </w:p>
        </w:tc>
        <w:tc>
          <w:tcPr>
            <w:tcW w:w="1275" w:type="dxa"/>
            <w:vMerge w:val="continue"/>
            <w:shd w:val="clear" w:color="auto" w:fill="FFFFFF" w:themeFill="background1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3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Q8.5.4</w:t>
            </w:r>
          </w:p>
          <w:p>
            <w:pPr>
              <w:pStyle w:val="13"/>
            </w:pPr>
            <w:r>
              <w:rPr>
                <w:rFonts w:hint="eastAsia"/>
              </w:rPr>
              <w:t>H3.3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手册8</w:t>
            </w:r>
            <w:r>
              <w:t>.5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产品防护计划</w:t>
            </w:r>
            <w:r>
              <w:rPr>
                <w:rFonts w:hint="eastAsia"/>
              </w:rPr>
              <w:t>》、《仓库管理制度》、</w:t>
            </w:r>
            <w:bookmarkStart w:id="0" w:name="_Hlk105675968"/>
            <w:r>
              <w:rPr>
                <w:rFonts w:hint="eastAsia"/>
              </w:rPr>
              <w:t>口</w:t>
            </w:r>
            <w:bookmarkEnd w:id="0"/>
            <w:r>
              <w:rPr>
                <w:rFonts w:hint="eastAsia"/>
              </w:rPr>
              <w:t>《产品/服务提供控制程序》、口《防火安全制度》、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GMP控制程序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continue"/>
            <w:shd w:val="clear" w:color="auto" w:fill="FFFFFF" w:themeFill="background1"/>
          </w:tcPr>
          <w:p/>
        </w:tc>
        <w:tc>
          <w:tcPr>
            <w:tcW w:w="1270" w:type="dxa"/>
            <w:vMerge w:val="continue"/>
            <w:shd w:val="clear" w:color="auto" w:fill="FFFFFF" w:themeFill="background1"/>
          </w:tcPr>
          <w:p/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防磕碰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防火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防雨淋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防日晒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  </w:t>
            </w:r>
          </w:p>
          <w:p>
            <w:pPr>
              <w:ind w:firstLine="1680" w:firstLineChars="8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清洁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卫生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防护性标识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处置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污染控制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包装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储存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</w:tc>
        <w:tc>
          <w:tcPr>
            <w:tcW w:w="127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continue"/>
            <w:shd w:val="clear" w:color="auto" w:fill="FFFFFF" w:themeFill="background1"/>
          </w:tcPr>
          <w:p/>
        </w:tc>
        <w:tc>
          <w:tcPr>
            <w:tcW w:w="1270" w:type="dxa"/>
            <w:vMerge w:val="continue"/>
            <w:shd w:val="clear" w:color="auto" w:fill="FFFFFF" w:themeFill="background1"/>
          </w:tcPr>
          <w:p/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/>
          <w:p>
            <w:r>
              <w:rPr>
                <w:rFonts w:hint="eastAsia"/>
              </w:rPr>
              <w:t xml:space="preserve">查看仓库管理规程，是否包括“先进先出”和“有效期优先”的原则。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片猪肉</w:t>
            </w:r>
            <w:r>
              <w:rPr>
                <w:rFonts w:hint="eastAsia"/>
                <w:u w:val="single"/>
              </w:rPr>
              <w:t xml:space="preserve">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防护措施（离地离墙等）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食品添加剂库房管理：抽查食品添加剂名称：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防护措施（质检部设专间进行管理）</w:t>
            </w:r>
          </w:p>
          <w:p>
            <w:pPr>
              <w:pStyle w:val="13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 当天生产完成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不涉及半成品</w:t>
            </w:r>
            <w:r>
              <w:rPr>
                <w:rFonts w:hint="eastAsia"/>
                <w:u w:val="single"/>
              </w:rPr>
              <w:t xml:space="preserve">。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</w:rPr>
              <w:t xml:space="preserve">   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</w:rPr>
              <w:t xml:space="preserve">   月（有保存期时）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防护措施（离地离墙放置）</w:t>
            </w:r>
          </w:p>
          <w:p>
            <w:pPr>
              <w:rPr>
                <w:color w:val="0000FF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日日鲜鲜肉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码放高度/层数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储存</w:t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  <w:u w:val="single"/>
                <w:lang w:val="en-US" w:eastAsia="zh-CN"/>
              </w:rPr>
              <w:t>0.2</w:t>
            </w:r>
            <w:r>
              <w:rPr>
                <w:rFonts w:hint="eastAsia"/>
                <w:u w:val="single"/>
              </w:rPr>
              <w:t xml:space="preserve"> 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</w:rPr>
              <w:t xml:space="preserve">   %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>1天</w:t>
            </w:r>
            <w:r>
              <w:rPr>
                <w:rFonts w:hint="eastAsia"/>
                <w:u w:val="single"/>
              </w:rPr>
              <w:t>（有保存期时）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账物卡相符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防护措施（离地离墙放置）</w:t>
            </w:r>
          </w:p>
          <w:p/>
          <w:p>
            <w:r>
              <w:rPr>
                <w:rFonts w:hint="eastAsia"/>
              </w:rPr>
              <w:t>检查库存产品的质量和卫生情况的频次：</w:t>
            </w:r>
            <w:r>
              <w:rPr>
                <w:rFonts w:hint="eastAsia"/>
                <w:u w:val="single"/>
              </w:rPr>
              <w:t xml:space="preserve">    每天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是否及时清理变质或超过保质期的库存。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275" w:type="dxa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shd w:val="clear" w:color="auto" w:fill="FFFFFF" w:themeFill="background1"/>
          </w:tcPr>
          <w:p/>
        </w:tc>
        <w:tc>
          <w:tcPr>
            <w:tcW w:w="1270" w:type="dxa"/>
            <w:shd w:val="clear" w:color="auto" w:fill="FFFFFF" w:themeFill="background1"/>
          </w:tcPr>
          <w:p/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>
            <w:pPr>
              <w:rPr>
                <w:bCs/>
                <w:spacing w:val="10"/>
              </w:rPr>
            </w:pPr>
            <w:r>
              <w:rPr>
                <w:rFonts w:hint="eastAsia"/>
              </w:rPr>
              <w:t>原料库分区存放，隔地离墙；有标识卡；</w:t>
            </w:r>
          </w:p>
          <w:p>
            <w:pPr>
              <w:pStyle w:val="9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现场查看，</w:t>
            </w:r>
            <w:r>
              <w:rPr>
                <w:rFonts w:hint="eastAsia"/>
                <w:lang w:val="en-US" w:eastAsia="zh-CN"/>
              </w:rPr>
              <w:t>成品冷藏库产品存放在塑料筐中，分区域存放。有库温监控表，每日进行1次</w:t>
            </w:r>
          </w:p>
        </w:tc>
        <w:tc>
          <w:tcPr>
            <w:tcW w:w="1275" w:type="dxa"/>
            <w:shd w:val="clear" w:color="auto" w:fill="FFFFFF" w:themeFill="background1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43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食品防护</w:t>
            </w:r>
          </w:p>
        </w:tc>
        <w:tc>
          <w:tcPr>
            <w:tcW w:w="1270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H(V1.0)</w:t>
            </w:r>
          </w:p>
          <w:p>
            <w:r>
              <w:rPr>
                <w:rFonts w:hint="eastAsia"/>
              </w:rPr>
              <w:t xml:space="preserve">3.11  </w:t>
            </w:r>
          </w:p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《食品防护计划》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843" w:type="dxa"/>
            <w:vMerge w:val="continue"/>
            <w:shd w:val="clear" w:color="auto" w:fill="FFFFFF" w:themeFill="background1"/>
          </w:tcPr>
          <w:p/>
        </w:tc>
        <w:tc>
          <w:tcPr>
            <w:tcW w:w="1270" w:type="dxa"/>
            <w:vMerge w:val="continue"/>
            <w:shd w:val="clear" w:color="auto" w:fill="FFFFFF" w:themeFill="background1"/>
          </w:tcPr>
          <w:p/>
        </w:tc>
        <w:tc>
          <w:tcPr>
            <w:tcW w:w="850" w:type="dxa"/>
            <w:shd w:val="clear" w:color="auto" w:fill="FFFFFF" w:themeFill="background1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04" w:type="dxa"/>
            <w:gridSpan w:val="2"/>
            <w:shd w:val="clear" w:color="auto" w:fill="FFFFFF" w:themeFill="background1"/>
          </w:tcPr>
          <w:p>
            <w:r>
              <w:rPr>
                <w:rFonts w:hint="eastAsia"/>
              </w:rPr>
              <w:t>食品防护计划应包括以下内容：</w:t>
            </w:r>
          </w:p>
          <w:p>
            <w:r>
              <w:rPr>
                <w:rFonts w:hint="eastAsia"/>
              </w:rPr>
              <w:t xml:space="preserve">a）食品防护评估；   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是   □否</w:t>
            </w:r>
          </w:p>
          <w:p>
            <w:r>
              <w:rPr>
                <w:rFonts w:hint="eastAsia"/>
              </w:rPr>
              <w:t xml:space="preserve">b）食品防护措施；   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是   □否</w:t>
            </w:r>
          </w:p>
          <w:p>
            <w:r>
              <w:rPr>
                <w:rFonts w:hint="eastAsia"/>
              </w:rPr>
              <w:t>c）食品防护措施的监视；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是   □否</w:t>
            </w:r>
          </w:p>
          <w:p>
            <w:r>
              <w:rPr>
                <w:rFonts w:hint="eastAsia"/>
              </w:rPr>
              <w:t xml:space="preserve">d）纠正和纠正措施；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否，体系建立以来未发生</w:t>
            </w:r>
          </w:p>
          <w:p>
            <w:pPr>
              <w:tabs>
                <w:tab w:val="left" w:pos="1454"/>
              </w:tabs>
            </w:pPr>
            <w:r>
              <w:rPr>
                <w:rFonts w:hint="eastAsia"/>
              </w:rPr>
              <w:t>）验证；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是   □否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f）应急预案；       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是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r>
              <w:rPr>
                <w:rFonts w:hint="eastAsia"/>
              </w:rPr>
              <w:t xml:space="preserve">g）记录。      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是   □否</w:t>
            </w:r>
          </w:p>
          <w:p>
            <w:r>
              <w:rPr>
                <w:rFonts w:hint="eastAsia"/>
              </w:rPr>
              <w:t>企业的食品防护计划应与HACCP体系整合。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是   □否</w:t>
            </w:r>
          </w:p>
          <w:p/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提供《食品防护计划检查表》，每月检查1次。抽查2022-06-10/2022-09-22/2022-10-18，未见异常。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人为的破坏或蓄意污染等造成的显著危害，应建立食品防护计划作为控制措施。</w:t>
            </w:r>
          </w:p>
          <w:p>
            <w:pPr>
              <w:rPr>
                <w:color w:val="0000FF"/>
                <w:highlight w:val="none"/>
              </w:rPr>
            </w:pPr>
            <w:r>
              <w:rPr>
                <w:rFonts w:hint="eastAsia"/>
                <w:color w:val="0000FF"/>
                <w:highlight w:val="none"/>
              </w:rPr>
              <w:t>人为的破坏造成的显著危害：</w:t>
            </w:r>
            <w:r>
              <w:rPr>
                <w:rFonts w:hint="eastAsia"/>
                <w:color w:val="0000FF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故意损坏设备设施、故意投入异物等</w:t>
            </w:r>
            <w:r>
              <w:rPr>
                <w:color w:val="0000FF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highlight w:val="none"/>
              </w:rPr>
              <w:t>，控制措施</w:t>
            </w:r>
            <w:r>
              <w:rPr>
                <w:rFonts w:hint="eastAsia"/>
                <w:color w:val="0000FF"/>
                <w:highlight w:val="none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</w:rPr>
              <w:t>《食品防护计划》</w:t>
            </w:r>
            <w:r>
              <w:rPr>
                <w:color w:val="0000FF"/>
                <w:highlight w:val="none"/>
                <w:u w:val="single"/>
              </w:rPr>
              <w:t xml:space="preserve">  </w:t>
            </w:r>
          </w:p>
          <w:p>
            <w:pP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</w:rPr>
              <w:t xml:space="preserve">蓄意污染造成的显著危害： </w:t>
            </w:r>
            <w:r>
              <w:rPr>
                <w:color w:val="0000FF"/>
                <w:highlight w:val="none"/>
              </w:rPr>
              <w:t xml:space="preserve"> </w:t>
            </w:r>
            <w:r>
              <w:rPr>
                <w:color w:val="0000FF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掺杂、以次充好、投毒、</w:t>
            </w:r>
            <w:r>
              <w:rPr>
                <w:color w:val="0000FF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highlight w:val="none"/>
              </w:rPr>
              <w:t>，控制措施</w:t>
            </w:r>
            <w:r>
              <w:rPr>
                <w:rFonts w:hint="eastAsia"/>
                <w:color w:val="0000FF"/>
                <w:highlight w:val="none"/>
                <w:u w:val="single"/>
              </w:rPr>
              <w:t xml:space="preserve">： 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采购控制程序》</w:t>
            </w:r>
            <w:r>
              <w:rPr>
                <w:color w:val="0000FF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highlight w:val="none"/>
                <w:u w:val="single"/>
              </w:rPr>
              <w:t>《食品防护计划》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人员培训等；</w:t>
            </w:r>
          </w:p>
          <w:p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《食品防护计划》确认日期：2022-05-24；《食品防护措施验证》2022-09-22；</w:t>
            </w:r>
          </w:p>
        </w:tc>
        <w:tc>
          <w:tcPr>
            <w:tcW w:w="1275" w:type="dxa"/>
            <w:vMerge w:val="continue"/>
            <w:shd w:val="clear" w:color="auto" w:fill="FFFFFF" w:themeFill="background1"/>
          </w:tcPr>
          <w:p/>
        </w:tc>
      </w:tr>
    </w:tbl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124D4"/>
    <w:rsid w:val="000135DD"/>
    <w:rsid w:val="00014DAD"/>
    <w:rsid w:val="00015506"/>
    <w:rsid w:val="00016D56"/>
    <w:rsid w:val="000201E5"/>
    <w:rsid w:val="00020601"/>
    <w:rsid w:val="0002302F"/>
    <w:rsid w:val="000237F6"/>
    <w:rsid w:val="0002728C"/>
    <w:rsid w:val="0003373A"/>
    <w:rsid w:val="00033FE4"/>
    <w:rsid w:val="00034E4C"/>
    <w:rsid w:val="000400E2"/>
    <w:rsid w:val="00041CE0"/>
    <w:rsid w:val="000421F9"/>
    <w:rsid w:val="00042A4B"/>
    <w:rsid w:val="00043F2B"/>
    <w:rsid w:val="00062E46"/>
    <w:rsid w:val="00072BC0"/>
    <w:rsid w:val="00076D6F"/>
    <w:rsid w:val="00082914"/>
    <w:rsid w:val="0008353F"/>
    <w:rsid w:val="00090F38"/>
    <w:rsid w:val="00094E4F"/>
    <w:rsid w:val="00097D9E"/>
    <w:rsid w:val="00097F44"/>
    <w:rsid w:val="000A0006"/>
    <w:rsid w:val="000A0158"/>
    <w:rsid w:val="000A4583"/>
    <w:rsid w:val="000A640F"/>
    <w:rsid w:val="000C27CD"/>
    <w:rsid w:val="000C4D49"/>
    <w:rsid w:val="000D1F04"/>
    <w:rsid w:val="000D762F"/>
    <w:rsid w:val="000E087A"/>
    <w:rsid w:val="000E22C8"/>
    <w:rsid w:val="000E4F9D"/>
    <w:rsid w:val="000E6B21"/>
    <w:rsid w:val="000E75D3"/>
    <w:rsid w:val="000E7A91"/>
    <w:rsid w:val="000F1FD9"/>
    <w:rsid w:val="000F278D"/>
    <w:rsid w:val="000F3908"/>
    <w:rsid w:val="000F60B4"/>
    <w:rsid w:val="000F68F6"/>
    <w:rsid w:val="00104AA1"/>
    <w:rsid w:val="00106309"/>
    <w:rsid w:val="00107928"/>
    <w:rsid w:val="0011170F"/>
    <w:rsid w:val="0011436F"/>
    <w:rsid w:val="001165EF"/>
    <w:rsid w:val="00117737"/>
    <w:rsid w:val="001261A4"/>
    <w:rsid w:val="00131272"/>
    <w:rsid w:val="001333EC"/>
    <w:rsid w:val="00144083"/>
    <w:rsid w:val="00146715"/>
    <w:rsid w:val="001502BE"/>
    <w:rsid w:val="00151156"/>
    <w:rsid w:val="001541AE"/>
    <w:rsid w:val="00155CFF"/>
    <w:rsid w:val="00156CCF"/>
    <w:rsid w:val="001671B8"/>
    <w:rsid w:val="00173504"/>
    <w:rsid w:val="00183764"/>
    <w:rsid w:val="001838D1"/>
    <w:rsid w:val="0018713C"/>
    <w:rsid w:val="00193490"/>
    <w:rsid w:val="00193546"/>
    <w:rsid w:val="001941E8"/>
    <w:rsid w:val="00194DED"/>
    <w:rsid w:val="00195AC8"/>
    <w:rsid w:val="00195E51"/>
    <w:rsid w:val="00197922"/>
    <w:rsid w:val="001A2D7F"/>
    <w:rsid w:val="001A52BF"/>
    <w:rsid w:val="001A5703"/>
    <w:rsid w:val="001B017F"/>
    <w:rsid w:val="001B2E15"/>
    <w:rsid w:val="001B307F"/>
    <w:rsid w:val="001B3ECA"/>
    <w:rsid w:val="001D0B88"/>
    <w:rsid w:val="001D3E3A"/>
    <w:rsid w:val="001E7688"/>
    <w:rsid w:val="001F1DEA"/>
    <w:rsid w:val="001F2127"/>
    <w:rsid w:val="00203BA9"/>
    <w:rsid w:val="002040A3"/>
    <w:rsid w:val="00211F77"/>
    <w:rsid w:val="0022136F"/>
    <w:rsid w:val="0022437C"/>
    <w:rsid w:val="002250F7"/>
    <w:rsid w:val="0023405D"/>
    <w:rsid w:val="002355A6"/>
    <w:rsid w:val="002402A3"/>
    <w:rsid w:val="002423D7"/>
    <w:rsid w:val="00244E44"/>
    <w:rsid w:val="0024601F"/>
    <w:rsid w:val="00257349"/>
    <w:rsid w:val="002658A7"/>
    <w:rsid w:val="0026639A"/>
    <w:rsid w:val="00266A1B"/>
    <w:rsid w:val="00270C7B"/>
    <w:rsid w:val="0028106A"/>
    <w:rsid w:val="002828AD"/>
    <w:rsid w:val="00284866"/>
    <w:rsid w:val="002939AD"/>
    <w:rsid w:val="00294F6F"/>
    <w:rsid w:val="002960C7"/>
    <w:rsid w:val="00296EC8"/>
    <w:rsid w:val="002A0B9A"/>
    <w:rsid w:val="002A57B8"/>
    <w:rsid w:val="002C54B7"/>
    <w:rsid w:val="002C5B67"/>
    <w:rsid w:val="002D0830"/>
    <w:rsid w:val="002D0905"/>
    <w:rsid w:val="002E236A"/>
    <w:rsid w:val="002F071B"/>
    <w:rsid w:val="002F2A97"/>
    <w:rsid w:val="002F7096"/>
    <w:rsid w:val="00302F26"/>
    <w:rsid w:val="00310579"/>
    <w:rsid w:val="00311CB7"/>
    <w:rsid w:val="003120AB"/>
    <w:rsid w:val="00312CE9"/>
    <w:rsid w:val="00314AF6"/>
    <w:rsid w:val="00332BEF"/>
    <w:rsid w:val="00337922"/>
    <w:rsid w:val="00340867"/>
    <w:rsid w:val="00341A1D"/>
    <w:rsid w:val="003430E0"/>
    <w:rsid w:val="00357CA7"/>
    <w:rsid w:val="00360B58"/>
    <w:rsid w:val="00370A13"/>
    <w:rsid w:val="00370C65"/>
    <w:rsid w:val="0037469A"/>
    <w:rsid w:val="00374F53"/>
    <w:rsid w:val="00377FBE"/>
    <w:rsid w:val="003805D7"/>
    <w:rsid w:val="00380837"/>
    <w:rsid w:val="00380E45"/>
    <w:rsid w:val="003812F6"/>
    <w:rsid w:val="00393D79"/>
    <w:rsid w:val="00395131"/>
    <w:rsid w:val="0039611B"/>
    <w:rsid w:val="003A198A"/>
    <w:rsid w:val="003A329F"/>
    <w:rsid w:val="003A5054"/>
    <w:rsid w:val="003A5E9D"/>
    <w:rsid w:val="003B4BCA"/>
    <w:rsid w:val="003B66D1"/>
    <w:rsid w:val="003C11BB"/>
    <w:rsid w:val="003C20A3"/>
    <w:rsid w:val="003C34E2"/>
    <w:rsid w:val="003D130E"/>
    <w:rsid w:val="003D262E"/>
    <w:rsid w:val="003D7DB4"/>
    <w:rsid w:val="003E0804"/>
    <w:rsid w:val="003E426F"/>
    <w:rsid w:val="003F799F"/>
    <w:rsid w:val="0040571D"/>
    <w:rsid w:val="00407813"/>
    <w:rsid w:val="00410914"/>
    <w:rsid w:val="0041160B"/>
    <w:rsid w:val="00414022"/>
    <w:rsid w:val="004152F9"/>
    <w:rsid w:val="00426898"/>
    <w:rsid w:val="0043169D"/>
    <w:rsid w:val="00447439"/>
    <w:rsid w:val="0045505C"/>
    <w:rsid w:val="00464B55"/>
    <w:rsid w:val="0048201E"/>
    <w:rsid w:val="004903D0"/>
    <w:rsid w:val="0049338E"/>
    <w:rsid w:val="00494507"/>
    <w:rsid w:val="004A1502"/>
    <w:rsid w:val="004A764A"/>
    <w:rsid w:val="004B56DB"/>
    <w:rsid w:val="004C06D8"/>
    <w:rsid w:val="004C3EFB"/>
    <w:rsid w:val="004C6172"/>
    <w:rsid w:val="004C6AB8"/>
    <w:rsid w:val="004C6FDB"/>
    <w:rsid w:val="004D0EB2"/>
    <w:rsid w:val="004D170A"/>
    <w:rsid w:val="004D63FA"/>
    <w:rsid w:val="004D7313"/>
    <w:rsid w:val="004D7679"/>
    <w:rsid w:val="004E1AFD"/>
    <w:rsid w:val="004E5767"/>
    <w:rsid w:val="004E68F0"/>
    <w:rsid w:val="004E77B2"/>
    <w:rsid w:val="004F6FCE"/>
    <w:rsid w:val="004F758D"/>
    <w:rsid w:val="0050247F"/>
    <w:rsid w:val="005033E6"/>
    <w:rsid w:val="00504E99"/>
    <w:rsid w:val="0051231C"/>
    <w:rsid w:val="005128DD"/>
    <w:rsid w:val="00514017"/>
    <w:rsid w:val="00520957"/>
    <w:rsid w:val="00523FAE"/>
    <w:rsid w:val="0053191A"/>
    <w:rsid w:val="00536930"/>
    <w:rsid w:val="005375D4"/>
    <w:rsid w:val="00546579"/>
    <w:rsid w:val="00546B32"/>
    <w:rsid w:val="00551682"/>
    <w:rsid w:val="00552A1D"/>
    <w:rsid w:val="005626E6"/>
    <w:rsid w:val="00564E53"/>
    <w:rsid w:val="00567499"/>
    <w:rsid w:val="005711F3"/>
    <w:rsid w:val="005804E6"/>
    <w:rsid w:val="00583499"/>
    <w:rsid w:val="00583B86"/>
    <w:rsid w:val="00586958"/>
    <w:rsid w:val="00591617"/>
    <w:rsid w:val="0059440D"/>
    <w:rsid w:val="005B32FB"/>
    <w:rsid w:val="005C1E72"/>
    <w:rsid w:val="005C222C"/>
    <w:rsid w:val="005C52B3"/>
    <w:rsid w:val="005C7527"/>
    <w:rsid w:val="005D0C78"/>
    <w:rsid w:val="005D5659"/>
    <w:rsid w:val="00600C20"/>
    <w:rsid w:val="00611730"/>
    <w:rsid w:val="00613DD9"/>
    <w:rsid w:val="00620E65"/>
    <w:rsid w:val="0062176D"/>
    <w:rsid w:val="00622257"/>
    <w:rsid w:val="00622DDA"/>
    <w:rsid w:val="00625A09"/>
    <w:rsid w:val="00626433"/>
    <w:rsid w:val="00627622"/>
    <w:rsid w:val="00635535"/>
    <w:rsid w:val="00635E85"/>
    <w:rsid w:val="006369AD"/>
    <w:rsid w:val="006415D4"/>
    <w:rsid w:val="00641A28"/>
    <w:rsid w:val="006444A0"/>
    <w:rsid w:val="00644D40"/>
    <w:rsid w:val="00644FE2"/>
    <w:rsid w:val="006463DA"/>
    <w:rsid w:val="006469D9"/>
    <w:rsid w:val="00653FFB"/>
    <w:rsid w:val="006542A1"/>
    <w:rsid w:val="00657590"/>
    <w:rsid w:val="00663239"/>
    <w:rsid w:val="00663AA4"/>
    <w:rsid w:val="00665320"/>
    <w:rsid w:val="006655C5"/>
    <w:rsid w:val="00665F88"/>
    <w:rsid w:val="00666D6D"/>
    <w:rsid w:val="00673DC8"/>
    <w:rsid w:val="0067640C"/>
    <w:rsid w:val="00676D1D"/>
    <w:rsid w:val="00677512"/>
    <w:rsid w:val="00682DAE"/>
    <w:rsid w:val="006836D8"/>
    <w:rsid w:val="0068493B"/>
    <w:rsid w:val="0068742C"/>
    <w:rsid w:val="00690604"/>
    <w:rsid w:val="0069065B"/>
    <w:rsid w:val="006940E0"/>
    <w:rsid w:val="006A7FA5"/>
    <w:rsid w:val="006B2A07"/>
    <w:rsid w:val="006C69C9"/>
    <w:rsid w:val="006D0840"/>
    <w:rsid w:val="006D1A7A"/>
    <w:rsid w:val="006D283F"/>
    <w:rsid w:val="006E5DA3"/>
    <w:rsid w:val="006E678B"/>
    <w:rsid w:val="006E7B1D"/>
    <w:rsid w:val="006F68C8"/>
    <w:rsid w:val="00715C02"/>
    <w:rsid w:val="00716C9C"/>
    <w:rsid w:val="00724BFE"/>
    <w:rsid w:val="007302AE"/>
    <w:rsid w:val="00732B22"/>
    <w:rsid w:val="007342F0"/>
    <w:rsid w:val="00734831"/>
    <w:rsid w:val="00740CB1"/>
    <w:rsid w:val="00750C69"/>
    <w:rsid w:val="00752A74"/>
    <w:rsid w:val="0075338B"/>
    <w:rsid w:val="00753A70"/>
    <w:rsid w:val="0076013F"/>
    <w:rsid w:val="0076163A"/>
    <w:rsid w:val="00761F3D"/>
    <w:rsid w:val="0076588B"/>
    <w:rsid w:val="00765C43"/>
    <w:rsid w:val="00766A80"/>
    <w:rsid w:val="00774971"/>
    <w:rsid w:val="007757F3"/>
    <w:rsid w:val="0078162A"/>
    <w:rsid w:val="007830C0"/>
    <w:rsid w:val="0078656B"/>
    <w:rsid w:val="007905C5"/>
    <w:rsid w:val="0079293A"/>
    <w:rsid w:val="0079512B"/>
    <w:rsid w:val="007A1B0F"/>
    <w:rsid w:val="007A4806"/>
    <w:rsid w:val="007A6D16"/>
    <w:rsid w:val="007A6E29"/>
    <w:rsid w:val="007B2DC8"/>
    <w:rsid w:val="007B4FDE"/>
    <w:rsid w:val="007B7C49"/>
    <w:rsid w:val="007C0DE9"/>
    <w:rsid w:val="007C1B48"/>
    <w:rsid w:val="007C21B5"/>
    <w:rsid w:val="007C49DC"/>
    <w:rsid w:val="007D116A"/>
    <w:rsid w:val="007D268C"/>
    <w:rsid w:val="007E3B15"/>
    <w:rsid w:val="007E3E85"/>
    <w:rsid w:val="007E6AEB"/>
    <w:rsid w:val="007F0B43"/>
    <w:rsid w:val="00802BFF"/>
    <w:rsid w:val="00802F2A"/>
    <w:rsid w:val="00807D27"/>
    <w:rsid w:val="00820508"/>
    <w:rsid w:val="00820CBD"/>
    <w:rsid w:val="00822004"/>
    <w:rsid w:val="008225A7"/>
    <w:rsid w:val="008257DA"/>
    <w:rsid w:val="00825E99"/>
    <w:rsid w:val="008305E8"/>
    <w:rsid w:val="008309AD"/>
    <w:rsid w:val="008330EE"/>
    <w:rsid w:val="008340DE"/>
    <w:rsid w:val="00837953"/>
    <w:rsid w:val="008404B6"/>
    <w:rsid w:val="00847681"/>
    <w:rsid w:val="008555B6"/>
    <w:rsid w:val="00857A96"/>
    <w:rsid w:val="008649EA"/>
    <w:rsid w:val="00867E6F"/>
    <w:rsid w:val="00874963"/>
    <w:rsid w:val="00875917"/>
    <w:rsid w:val="0087764B"/>
    <w:rsid w:val="00893F81"/>
    <w:rsid w:val="008973EE"/>
    <w:rsid w:val="008A02C8"/>
    <w:rsid w:val="008A12E4"/>
    <w:rsid w:val="008A1B28"/>
    <w:rsid w:val="008A488C"/>
    <w:rsid w:val="008B715C"/>
    <w:rsid w:val="008C0CE4"/>
    <w:rsid w:val="008C1FC0"/>
    <w:rsid w:val="008C311D"/>
    <w:rsid w:val="008C31B0"/>
    <w:rsid w:val="008D0F66"/>
    <w:rsid w:val="008D5AD4"/>
    <w:rsid w:val="008D6D56"/>
    <w:rsid w:val="008E2507"/>
    <w:rsid w:val="008E6040"/>
    <w:rsid w:val="008F104D"/>
    <w:rsid w:val="008F1C2B"/>
    <w:rsid w:val="008F52DC"/>
    <w:rsid w:val="00901D1D"/>
    <w:rsid w:val="0090262F"/>
    <w:rsid w:val="00902A0A"/>
    <w:rsid w:val="00903036"/>
    <w:rsid w:val="00904F34"/>
    <w:rsid w:val="00905BD9"/>
    <w:rsid w:val="009150BE"/>
    <w:rsid w:val="00915107"/>
    <w:rsid w:val="0092039D"/>
    <w:rsid w:val="00920572"/>
    <w:rsid w:val="00920682"/>
    <w:rsid w:val="009213C3"/>
    <w:rsid w:val="00922929"/>
    <w:rsid w:val="00924315"/>
    <w:rsid w:val="00935B2C"/>
    <w:rsid w:val="009374BB"/>
    <w:rsid w:val="00937DB2"/>
    <w:rsid w:val="0094156C"/>
    <w:rsid w:val="0094428C"/>
    <w:rsid w:val="00946981"/>
    <w:rsid w:val="009563D4"/>
    <w:rsid w:val="00957F04"/>
    <w:rsid w:val="00961D03"/>
    <w:rsid w:val="009651F1"/>
    <w:rsid w:val="00966A20"/>
    <w:rsid w:val="00971600"/>
    <w:rsid w:val="00974E6B"/>
    <w:rsid w:val="00977015"/>
    <w:rsid w:val="009771E5"/>
    <w:rsid w:val="00981462"/>
    <w:rsid w:val="00981929"/>
    <w:rsid w:val="00983320"/>
    <w:rsid w:val="00984AF0"/>
    <w:rsid w:val="00986DBD"/>
    <w:rsid w:val="00993965"/>
    <w:rsid w:val="009973B4"/>
    <w:rsid w:val="009974D8"/>
    <w:rsid w:val="009A37C8"/>
    <w:rsid w:val="009A75D1"/>
    <w:rsid w:val="009A76FE"/>
    <w:rsid w:val="009B3055"/>
    <w:rsid w:val="009B4804"/>
    <w:rsid w:val="009C28C1"/>
    <w:rsid w:val="009C2AD7"/>
    <w:rsid w:val="009C6020"/>
    <w:rsid w:val="009C6837"/>
    <w:rsid w:val="009D277B"/>
    <w:rsid w:val="009E23EF"/>
    <w:rsid w:val="009E63D4"/>
    <w:rsid w:val="009F2F63"/>
    <w:rsid w:val="009F4CF0"/>
    <w:rsid w:val="009F7EED"/>
    <w:rsid w:val="00A107FF"/>
    <w:rsid w:val="00A116B8"/>
    <w:rsid w:val="00A16AF3"/>
    <w:rsid w:val="00A17E36"/>
    <w:rsid w:val="00A20C6C"/>
    <w:rsid w:val="00A24029"/>
    <w:rsid w:val="00A33EF0"/>
    <w:rsid w:val="00A34062"/>
    <w:rsid w:val="00A468DB"/>
    <w:rsid w:val="00A52D2D"/>
    <w:rsid w:val="00A535D7"/>
    <w:rsid w:val="00A538B6"/>
    <w:rsid w:val="00A56605"/>
    <w:rsid w:val="00A57777"/>
    <w:rsid w:val="00A6301E"/>
    <w:rsid w:val="00A66272"/>
    <w:rsid w:val="00A7133F"/>
    <w:rsid w:val="00A735F1"/>
    <w:rsid w:val="00A7511F"/>
    <w:rsid w:val="00A7616C"/>
    <w:rsid w:val="00A80636"/>
    <w:rsid w:val="00A807AA"/>
    <w:rsid w:val="00A816A1"/>
    <w:rsid w:val="00A82145"/>
    <w:rsid w:val="00A8318B"/>
    <w:rsid w:val="00A86803"/>
    <w:rsid w:val="00A9174C"/>
    <w:rsid w:val="00A934CA"/>
    <w:rsid w:val="00A9623B"/>
    <w:rsid w:val="00AA3DDC"/>
    <w:rsid w:val="00AA50E0"/>
    <w:rsid w:val="00AA6E9D"/>
    <w:rsid w:val="00AA71E5"/>
    <w:rsid w:val="00AB1A91"/>
    <w:rsid w:val="00AB3A66"/>
    <w:rsid w:val="00AB4B6F"/>
    <w:rsid w:val="00AC321F"/>
    <w:rsid w:val="00AD30D7"/>
    <w:rsid w:val="00AE565C"/>
    <w:rsid w:val="00AE7F1A"/>
    <w:rsid w:val="00AF0AAB"/>
    <w:rsid w:val="00AF1AF5"/>
    <w:rsid w:val="00AF1F76"/>
    <w:rsid w:val="00AF2B5F"/>
    <w:rsid w:val="00AF3A93"/>
    <w:rsid w:val="00AF4B4C"/>
    <w:rsid w:val="00B03D10"/>
    <w:rsid w:val="00B04E91"/>
    <w:rsid w:val="00B16883"/>
    <w:rsid w:val="00B21046"/>
    <w:rsid w:val="00B23D14"/>
    <w:rsid w:val="00B4686A"/>
    <w:rsid w:val="00B574D4"/>
    <w:rsid w:val="00B5761D"/>
    <w:rsid w:val="00B62618"/>
    <w:rsid w:val="00B662A6"/>
    <w:rsid w:val="00B74B65"/>
    <w:rsid w:val="00B757BD"/>
    <w:rsid w:val="00B75BEC"/>
    <w:rsid w:val="00B85C59"/>
    <w:rsid w:val="00B906EC"/>
    <w:rsid w:val="00B930E1"/>
    <w:rsid w:val="00BA3033"/>
    <w:rsid w:val="00BA3C47"/>
    <w:rsid w:val="00BA6986"/>
    <w:rsid w:val="00BB7203"/>
    <w:rsid w:val="00BC07B3"/>
    <w:rsid w:val="00BC2D24"/>
    <w:rsid w:val="00BC5A9A"/>
    <w:rsid w:val="00BC5C3C"/>
    <w:rsid w:val="00BD1652"/>
    <w:rsid w:val="00BD4AE1"/>
    <w:rsid w:val="00BD5957"/>
    <w:rsid w:val="00BE0AE6"/>
    <w:rsid w:val="00BE4B12"/>
    <w:rsid w:val="00BF30FC"/>
    <w:rsid w:val="00BF597E"/>
    <w:rsid w:val="00C075BC"/>
    <w:rsid w:val="00C13E48"/>
    <w:rsid w:val="00C20491"/>
    <w:rsid w:val="00C312FE"/>
    <w:rsid w:val="00C337F1"/>
    <w:rsid w:val="00C4247E"/>
    <w:rsid w:val="00C51A36"/>
    <w:rsid w:val="00C532DA"/>
    <w:rsid w:val="00C55228"/>
    <w:rsid w:val="00C5596C"/>
    <w:rsid w:val="00C55BAF"/>
    <w:rsid w:val="00C5641C"/>
    <w:rsid w:val="00C63768"/>
    <w:rsid w:val="00C66F27"/>
    <w:rsid w:val="00C704AD"/>
    <w:rsid w:val="00C8098B"/>
    <w:rsid w:val="00C81122"/>
    <w:rsid w:val="00C91A3B"/>
    <w:rsid w:val="00C923A7"/>
    <w:rsid w:val="00C929BC"/>
    <w:rsid w:val="00C940DC"/>
    <w:rsid w:val="00C96369"/>
    <w:rsid w:val="00CA0E9E"/>
    <w:rsid w:val="00CA3DA8"/>
    <w:rsid w:val="00CB7B85"/>
    <w:rsid w:val="00CC00FB"/>
    <w:rsid w:val="00CC1A0D"/>
    <w:rsid w:val="00CC30DA"/>
    <w:rsid w:val="00CC71E3"/>
    <w:rsid w:val="00CD1175"/>
    <w:rsid w:val="00CD5AC8"/>
    <w:rsid w:val="00CE048A"/>
    <w:rsid w:val="00CE315A"/>
    <w:rsid w:val="00D026DA"/>
    <w:rsid w:val="00D06F59"/>
    <w:rsid w:val="00D109A0"/>
    <w:rsid w:val="00D122D4"/>
    <w:rsid w:val="00D15F49"/>
    <w:rsid w:val="00D2021F"/>
    <w:rsid w:val="00D2131F"/>
    <w:rsid w:val="00D2542C"/>
    <w:rsid w:val="00D31FBF"/>
    <w:rsid w:val="00D35C57"/>
    <w:rsid w:val="00D4447B"/>
    <w:rsid w:val="00D47A5B"/>
    <w:rsid w:val="00D535DD"/>
    <w:rsid w:val="00D54CD0"/>
    <w:rsid w:val="00D5583B"/>
    <w:rsid w:val="00D60024"/>
    <w:rsid w:val="00D60CE2"/>
    <w:rsid w:val="00D62CD5"/>
    <w:rsid w:val="00D637C0"/>
    <w:rsid w:val="00D66271"/>
    <w:rsid w:val="00D66365"/>
    <w:rsid w:val="00D7124E"/>
    <w:rsid w:val="00D72B94"/>
    <w:rsid w:val="00D80183"/>
    <w:rsid w:val="00D8388C"/>
    <w:rsid w:val="00D908F5"/>
    <w:rsid w:val="00D96411"/>
    <w:rsid w:val="00DA1243"/>
    <w:rsid w:val="00DB4773"/>
    <w:rsid w:val="00DB5EDB"/>
    <w:rsid w:val="00DD5470"/>
    <w:rsid w:val="00DD690B"/>
    <w:rsid w:val="00DD72ED"/>
    <w:rsid w:val="00DE1C45"/>
    <w:rsid w:val="00DE57F0"/>
    <w:rsid w:val="00DF125A"/>
    <w:rsid w:val="00DF297F"/>
    <w:rsid w:val="00DF2AC5"/>
    <w:rsid w:val="00DF4205"/>
    <w:rsid w:val="00DF67A1"/>
    <w:rsid w:val="00E01083"/>
    <w:rsid w:val="00E06C9D"/>
    <w:rsid w:val="00E12222"/>
    <w:rsid w:val="00E141D6"/>
    <w:rsid w:val="00E14E19"/>
    <w:rsid w:val="00E23620"/>
    <w:rsid w:val="00E24216"/>
    <w:rsid w:val="00E24299"/>
    <w:rsid w:val="00E245DC"/>
    <w:rsid w:val="00E33B18"/>
    <w:rsid w:val="00E37089"/>
    <w:rsid w:val="00E45008"/>
    <w:rsid w:val="00E5242D"/>
    <w:rsid w:val="00E6224C"/>
    <w:rsid w:val="00E667BD"/>
    <w:rsid w:val="00E70751"/>
    <w:rsid w:val="00E72ED1"/>
    <w:rsid w:val="00E748E1"/>
    <w:rsid w:val="00E7793B"/>
    <w:rsid w:val="00E77A69"/>
    <w:rsid w:val="00E8115C"/>
    <w:rsid w:val="00E903F4"/>
    <w:rsid w:val="00E96A36"/>
    <w:rsid w:val="00EA09FD"/>
    <w:rsid w:val="00EA1FA3"/>
    <w:rsid w:val="00EA5EA1"/>
    <w:rsid w:val="00EB0164"/>
    <w:rsid w:val="00EB06CC"/>
    <w:rsid w:val="00EB4FA4"/>
    <w:rsid w:val="00EB5D58"/>
    <w:rsid w:val="00EC0743"/>
    <w:rsid w:val="00EC1A4C"/>
    <w:rsid w:val="00EC4DC9"/>
    <w:rsid w:val="00EC4F05"/>
    <w:rsid w:val="00ED0F62"/>
    <w:rsid w:val="00ED2879"/>
    <w:rsid w:val="00ED512F"/>
    <w:rsid w:val="00EE3D5E"/>
    <w:rsid w:val="00EE490C"/>
    <w:rsid w:val="00F06CD1"/>
    <w:rsid w:val="00F1524A"/>
    <w:rsid w:val="00F161A7"/>
    <w:rsid w:val="00F22499"/>
    <w:rsid w:val="00F25AA0"/>
    <w:rsid w:val="00F2700B"/>
    <w:rsid w:val="00F357F3"/>
    <w:rsid w:val="00F374E9"/>
    <w:rsid w:val="00F5273A"/>
    <w:rsid w:val="00F52B00"/>
    <w:rsid w:val="00F52FCB"/>
    <w:rsid w:val="00F6093E"/>
    <w:rsid w:val="00F67944"/>
    <w:rsid w:val="00F709AB"/>
    <w:rsid w:val="00F859AB"/>
    <w:rsid w:val="00F86766"/>
    <w:rsid w:val="00F9114B"/>
    <w:rsid w:val="00F9430B"/>
    <w:rsid w:val="00F95861"/>
    <w:rsid w:val="00F9705B"/>
    <w:rsid w:val="00FA24D6"/>
    <w:rsid w:val="00FA4337"/>
    <w:rsid w:val="00FA6DA6"/>
    <w:rsid w:val="00FB16F3"/>
    <w:rsid w:val="00FB4BD7"/>
    <w:rsid w:val="00FB5F66"/>
    <w:rsid w:val="00FB65EC"/>
    <w:rsid w:val="00FC6BAE"/>
    <w:rsid w:val="00FE1C52"/>
    <w:rsid w:val="00FE2D6D"/>
    <w:rsid w:val="00FE438E"/>
    <w:rsid w:val="01260C71"/>
    <w:rsid w:val="015B5EE5"/>
    <w:rsid w:val="01E27364"/>
    <w:rsid w:val="028751DA"/>
    <w:rsid w:val="02C75A20"/>
    <w:rsid w:val="032F5195"/>
    <w:rsid w:val="03A0688A"/>
    <w:rsid w:val="03A32F8E"/>
    <w:rsid w:val="03AC3D8E"/>
    <w:rsid w:val="03CE483E"/>
    <w:rsid w:val="03CF54E8"/>
    <w:rsid w:val="0405614C"/>
    <w:rsid w:val="047578FE"/>
    <w:rsid w:val="04883DB3"/>
    <w:rsid w:val="04981EC9"/>
    <w:rsid w:val="050D3D1E"/>
    <w:rsid w:val="055B47FF"/>
    <w:rsid w:val="056577F0"/>
    <w:rsid w:val="05705C5F"/>
    <w:rsid w:val="0574181F"/>
    <w:rsid w:val="057753FF"/>
    <w:rsid w:val="05A05014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8767210"/>
    <w:rsid w:val="08851DD7"/>
    <w:rsid w:val="08C22483"/>
    <w:rsid w:val="08ED1EE8"/>
    <w:rsid w:val="09005957"/>
    <w:rsid w:val="096333C5"/>
    <w:rsid w:val="09933EF9"/>
    <w:rsid w:val="0995230D"/>
    <w:rsid w:val="09AA0CA5"/>
    <w:rsid w:val="09FA6045"/>
    <w:rsid w:val="0A0F142E"/>
    <w:rsid w:val="0A185E27"/>
    <w:rsid w:val="0A1C56C1"/>
    <w:rsid w:val="0A503A1D"/>
    <w:rsid w:val="0A904067"/>
    <w:rsid w:val="0ACA6ED2"/>
    <w:rsid w:val="0AEF4D8D"/>
    <w:rsid w:val="0B4B0BC0"/>
    <w:rsid w:val="0BB9501C"/>
    <w:rsid w:val="0BE64DFF"/>
    <w:rsid w:val="0C164BBC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984211"/>
    <w:rsid w:val="0EB24EB7"/>
    <w:rsid w:val="0EB8524B"/>
    <w:rsid w:val="0F74727D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50FF3"/>
    <w:rsid w:val="112877FF"/>
    <w:rsid w:val="11536201"/>
    <w:rsid w:val="115D3DB9"/>
    <w:rsid w:val="11BD2BE2"/>
    <w:rsid w:val="11BE2038"/>
    <w:rsid w:val="11D62156"/>
    <w:rsid w:val="11DC0AC4"/>
    <w:rsid w:val="11E2439D"/>
    <w:rsid w:val="123F7295"/>
    <w:rsid w:val="12563B2D"/>
    <w:rsid w:val="12A2571D"/>
    <w:rsid w:val="12A42EA7"/>
    <w:rsid w:val="12A506D3"/>
    <w:rsid w:val="12A765FF"/>
    <w:rsid w:val="131D3252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6210B83"/>
    <w:rsid w:val="16353C00"/>
    <w:rsid w:val="16583F2B"/>
    <w:rsid w:val="169D3E09"/>
    <w:rsid w:val="16A6065A"/>
    <w:rsid w:val="16AB3CAD"/>
    <w:rsid w:val="16E341B9"/>
    <w:rsid w:val="16F10A78"/>
    <w:rsid w:val="170854A6"/>
    <w:rsid w:val="17226BDD"/>
    <w:rsid w:val="172E5DC1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AB2C3E"/>
    <w:rsid w:val="18E725C6"/>
    <w:rsid w:val="18FB3FC3"/>
    <w:rsid w:val="19444428"/>
    <w:rsid w:val="19553BF7"/>
    <w:rsid w:val="197008AF"/>
    <w:rsid w:val="19746F33"/>
    <w:rsid w:val="197E61C1"/>
    <w:rsid w:val="199565C0"/>
    <w:rsid w:val="19A53651"/>
    <w:rsid w:val="19D74BC7"/>
    <w:rsid w:val="19FD49DB"/>
    <w:rsid w:val="1A041A8F"/>
    <w:rsid w:val="1A546A4C"/>
    <w:rsid w:val="1A6C3FF9"/>
    <w:rsid w:val="1A8D31BA"/>
    <w:rsid w:val="1AAF33A8"/>
    <w:rsid w:val="1AB42370"/>
    <w:rsid w:val="1ACF1254"/>
    <w:rsid w:val="1AED5B63"/>
    <w:rsid w:val="1B462375"/>
    <w:rsid w:val="1B5E3B97"/>
    <w:rsid w:val="1C0F6CA1"/>
    <w:rsid w:val="1C392A3A"/>
    <w:rsid w:val="1CB1322F"/>
    <w:rsid w:val="1D1505AD"/>
    <w:rsid w:val="1D305121"/>
    <w:rsid w:val="1D4D4A00"/>
    <w:rsid w:val="1DC4038A"/>
    <w:rsid w:val="1DF36090"/>
    <w:rsid w:val="1DFE25B1"/>
    <w:rsid w:val="1E511FFA"/>
    <w:rsid w:val="1E752FA2"/>
    <w:rsid w:val="1E966749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BC67D1"/>
    <w:rsid w:val="21D24208"/>
    <w:rsid w:val="22625D7D"/>
    <w:rsid w:val="226B2F60"/>
    <w:rsid w:val="22813299"/>
    <w:rsid w:val="22F04DA9"/>
    <w:rsid w:val="23461CA8"/>
    <w:rsid w:val="238A1BAA"/>
    <w:rsid w:val="23900E62"/>
    <w:rsid w:val="23B87C1E"/>
    <w:rsid w:val="23BF3886"/>
    <w:rsid w:val="241A6B34"/>
    <w:rsid w:val="24285E2F"/>
    <w:rsid w:val="242A7B69"/>
    <w:rsid w:val="246200F0"/>
    <w:rsid w:val="247622DE"/>
    <w:rsid w:val="2480482A"/>
    <w:rsid w:val="24A05D8E"/>
    <w:rsid w:val="24FC7C66"/>
    <w:rsid w:val="2519537A"/>
    <w:rsid w:val="258041F6"/>
    <w:rsid w:val="258609CC"/>
    <w:rsid w:val="2587082F"/>
    <w:rsid w:val="25BF1983"/>
    <w:rsid w:val="25D95944"/>
    <w:rsid w:val="261B55F8"/>
    <w:rsid w:val="261D5675"/>
    <w:rsid w:val="269C7CAD"/>
    <w:rsid w:val="26C358C3"/>
    <w:rsid w:val="271B4DE1"/>
    <w:rsid w:val="272228DE"/>
    <w:rsid w:val="27443F4D"/>
    <w:rsid w:val="274B78E8"/>
    <w:rsid w:val="27602485"/>
    <w:rsid w:val="27AB7378"/>
    <w:rsid w:val="27BF055A"/>
    <w:rsid w:val="27CF15FE"/>
    <w:rsid w:val="27D42EE9"/>
    <w:rsid w:val="27E10A81"/>
    <w:rsid w:val="27E814BC"/>
    <w:rsid w:val="27FE6486"/>
    <w:rsid w:val="280B3F2E"/>
    <w:rsid w:val="28341F0D"/>
    <w:rsid w:val="2892323E"/>
    <w:rsid w:val="289361DE"/>
    <w:rsid w:val="28FE15FE"/>
    <w:rsid w:val="291C5E47"/>
    <w:rsid w:val="295A5D35"/>
    <w:rsid w:val="296D2D47"/>
    <w:rsid w:val="29CB46C2"/>
    <w:rsid w:val="29F77BA5"/>
    <w:rsid w:val="2A3A6E77"/>
    <w:rsid w:val="2A85024C"/>
    <w:rsid w:val="2A9234EA"/>
    <w:rsid w:val="2B0D2F04"/>
    <w:rsid w:val="2B1D2572"/>
    <w:rsid w:val="2B206A2D"/>
    <w:rsid w:val="2B2262D4"/>
    <w:rsid w:val="2B324914"/>
    <w:rsid w:val="2B4324C3"/>
    <w:rsid w:val="2B4C1179"/>
    <w:rsid w:val="2B86406E"/>
    <w:rsid w:val="2B874508"/>
    <w:rsid w:val="2BA11021"/>
    <w:rsid w:val="2BD60481"/>
    <w:rsid w:val="2BE4434B"/>
    <w:rsid w:val="2BEA3FA7"/>
    <w:rsid w:val="2C2E44D4"/>
    <w:rsid w:val="2C3F0EDD"/>
    <w:rsid w:val="2C7B6C71"/>
    <w:rsid w:val="2D357F0D"/>
    <w:rsid w:val="2D4E604F"/>
    <w:rsid w:val="2D5C2AB0"/>
    <w:rsid w:val="2D7A20E6"/>
    <w:rsid w:val="2D857A8D"/>
    <w:rsid w:val="2DC57805"/>
    <w:rsid w:val="2DD97070"/>
    <w:rsid w:val="2DDF08DF"/>
    <w:rsid w:val="2DE41D3C"/>
    <w:rsid w:val="2DFF79D8"/>
    <w:rsid w:val="2E367C56"/>
    <w:rsid w:val="2E440885"/>
    <w:rsid w:val="2E5946AF"/>
    <w:rsid w:val="2EEE512C"/>
    <w:rsid w:val="2F511B05"/>
    <w:rsid w:val="2F7C571D"/>
    <w:rsid w:val="2FA127F8"/>
    <w:rsid w:val="2FA86B66"/>
    <w:rsid w:val="2FB92EE8"/>
    <w:rsid w:val="2FE823A5"/>
    <w:rsid w:val="2FEA1C57"/>
    <w:rsid w:val="300172B8"/>
    <w:rsid w:val="303A6C7F"/>
    <w:rsid w:val="306E1D90"/>
    <w:rsid w:val="30945277"/>
    <w:rsid w:val="309646AE"/>
    <w:rsid w:val="30C71DD4"/>
    <w:rsid w:val="30DC7CB1"/>
    <w:rsid w:val="30E3452C"/>
    <w:rsid w:val="30ED30CC"/>
    <w:rsid w:val="31064141"/>
    <w:rsid w:val="310B7896"/>
    <w:rsid w:val="31330015"/>
    <w:rsid w:val="31B477DB"/>
    <w:rsid w:val="31B67BE2"/>
    <w:rsid w:val="31CA71DD"/>
    <w:rsid w:val="324E5138"/>
    <w:rsid w:val="32E4458C"/>
    <w:rsid w:val="331E21CE"/>
    <w:rsid w:val="332826CA"/>
    <w:rsid w:val="33562A0D"/>
    <w:rsid w:val="33715F28"/>
    <w:rsid w:val="339A10EE"/>
    <w:rsid w:val="33DC7BE2"/>
    <w:rsid w:val="33F07155"/>
    <w:rsid w:val="340C6245"/>
    <w:rsid w:val="343C4522"/>
    <w:rsid w:val="34427402"/>
    <w:rsid w:val="347A0336"/>
    <w:rsid w:val="34BD4D58"/>
    <w:rsid w:val="34DC46DD"/>
    <w:rsid w:val="34F71910"/>
    <w:rsid w:val="34F92D63"/>
    <w:rsid w:val="35527F1F"/>
    <w:rsid w:val="35705615"/>
    <w:rsid w:val="357914C0"/>
    <w:rsid w:val="35D208A2"/>
    <w:rsid w:val="35D721CD"/>
    <w:rsid w:val="35E640E8"/>
    <w:rsid w:val="36174333"/>
    <w:rsid w:val="364A3F09"/>
    <w:rsid w:val="367A501B"/>
    <w:rsid w:val="372D3763"/>
    <w:rsid w:val="37337890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642D4"/>
    <w:rsid w:val="38BD5C7F"/>
    <w:rsid w:val="38C5580C"/>
    <w:rsid w:val="38EC325F"/>
    <w:rsid w:val="39286E54"/>
    <w:rsid w:val="399117DD"/>
    <w:rsid w:val="39972637"/>
    <w:rsid w:val="39AE4DCE"/>
    <w:rsid w:val="39B7587C"/>
    <w:rsid w:val="39D7104B"/>
    <w:rsid w:val="3A251C25"/>
    <w:rsid w:val="3A3E0D9F"/>
    <w:rsid w:val="3A5573DE"/>
    <w:rsid w:val="3A7A745C"/>
    <w:rsid w:val="3AAB1306"/>
    <w:rsid w:val="3ABD0173"/>
    <w:rsid w:val="3ACE23E2"/>
    <w:rsid w:val="3AEE41FA"/>
    <w:rsid w:val="3B227AA7"/>
    <w:rsid w:val="3B4241C0"/>
    <w:rsid w:val="3B483332"/>
    <w:rsid w:val="3B5F0280"/>
    <w:rsid w:val="3B8A0B80"/>
    <w:rsid w:val="3BEE1D6F"/>
    <w:rsid w:val="3BF1473C"/>
    <w:rsid w:val="3CA475E5"/>
    <w:rsid w:val="3CA717F2"/>
    <w:rsid w:val="3CC56579"/>
    <w:rsid w:val="3D1F016A"/>
    <w:rsid w:val="3DAB460B"/>
    <w:rsid w:val="3DDA7DB2"/>
    <w:rsid w:val="3DF27028"/>
    <w:rsid w:val="3E342793"/>
    <w:rsid w:val="3E3C5235"/>
    <w:rsid w:val="3EA34B57"/>
    <w:rsid w:val="3EB535D9"/>
    <w:rsid w:val="3EEF1E6E"/>
    <w:rsid w:val="3F654598"/>
    <w:rsid w:val="3F824FF7"/>
    <w:rsid w:val="40571F31"/>
    <w:rsid w:val="40611A4E"/>
    <w:rsid w:val="40760623"/>
    <w:rsid w:val="408B7234"/>
    <w:rsid w:val="40E27AF7"/>
    <w:rsid w:val="40F80D82"/>
    <w:rsid w:val="41342A6B"/>
    <w:rsid w:val="414C7183"/>
    <w:rsid w:val="4174033D"/>
    <w:rsid w:val="418D501C"/>
    <w:rsid w:val="41BD4926"/>
    <w:rsid w:val="41E9167B"/>
    <w:rsid w:val="42416B50"/>
    <w:rsid w:val="4262379E"/>
    <w:rsid w:val="427A1188"/>
    <w:rsid w:val="432A5E11"/>
    <w:rsid w:val="433B1167"/>
    <w:rsid w:val="435F500F"/>
    <w:rsid w:val="437F746B"/>
    <w:rsid w:val="43C730CD"/>
    <w:rsid w:val="43E97C54"/>
    <w:rsid w:val="44A567F5"/>
    <w:rsid w:val="453B1EBC"/>
    <w:rsid w:val="45556179"/>
    <w:rsid w:val="45635AEC"/>
    <w:rsid w:val="456C00D1"/>
    <w:rsid w:val="45B7168C"/>
    <w:rsid w:val="45BA54FA"/>
    <w:rsid w:val="45EC74A5"/>
    <w:rsid w:val="45FA6B69"/>
    <w:rsid w:val="45FF3466"/>
    <w:rsid w:val="460414DD"/>
    <w:rsid w:val="462066F2"/>
    <w:rsid w:val="46332B60"/>
    <w:rsid w:val="4654705C"/>
    <w:rsid w:val="468D2C1F"/>
    <w:rsid w:val="468D3CA5"/>
    <w:rsid w:val="469817BA"/>
    <w:rsid w:val="46E05EE1"/>
    <w:rsid w:val="46EA7997"/>
    <w:rsid w:val="470243E7"/>
    <w:rsid w:val="470C7090"/>
    <w:rsid w:val="471F1498"/>
    <w:rsid w:val="47271944"/>
    <w:rsid w:val="474F5882"/>
    <w:rsid w:val="475C4BFE"/>
    <w:rsid w:val="47BB044C"/>
    <w:rsid w:val="4814204B"/>
    <w:rsid w:val="48262DE5"/>
    <w:rsid w:val="48B12F1D"/>
    <w:rsid w:val="491B2D99"/>
    <w:rsid w:val="49C0281D"/>
    <w:rsid w:val="49CB1BAA"/>
    <w:rsid w:val="49E449BF"/>
    <w:rsid w:val="49EC77B8"/>
    <w:rsid w:val="49ED5B1C"/>
    <w:rsid w:val="4AD45EF1"/>
    <w:rsid w:val="4AE04A18"/>
    <w:rsid w:val="4B047121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5819A6"/>
    <w:rsid w:val="4D791805"/>
    <w:rsid w:val="4D8F2F88"/>
    <w:rsid w:val="4DB86BCB"/>
    <w:rsid w:val="4DD85058"/>
    <w:rsid w:val="4E0166A9"/>
    <w:rsid w:val="4E0568AD"/>
    <w:rsid w:val="4E1551DB"/>
    <w:rsid w:val="4E7774D0"/>
    <w:rsid w:val="4F594843"/>
    <w:rsid w:val="503C3BCC"/>
    <w:rsid w:val="5047741A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AF2069"/>
    <w:rsid w:val="52BA5471"/>
    <w:rsid w:val="52D871F4"/>
    <w:rsid w:val="52F263D6"/>
    <w:rsid w:val="53024EB7"/>
    <w:rsid w:val="53261795"/>
    <w:rsid w:val="535A6678"/>
    <w:rsid w:val="53953BE7"/>
    <w:rsid w:val="53F51637"/>
    <w:rsid w:val="54124FEF"/>
    <w:rsid w:val="541C4B67"/>
    <w:rsid w:val="54461D2B"/>
    <w:rsid w:val="5467154F"/>
    <w:rsid w:val="547F1017"/>
    <w:rsid w:val="54CF254E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B728A2"/>
    <w:rsid w:val="58B868EB"/>
    <w:rsid w:val="590D059A"/>
    <w:rsid w:val="592802C2"/>
    <w:rsid w:val="5978735A"/>
    <w:rsid w:val="59D16D68"/>
    <w:rsid w:val="59E42114"/>
    <w:rsid w:val="59E710C8"/>
    <w:rsid w:val="5A1C59A1"/>
    <w:rsid w:val="5A407674"/>
    <w:rsid w:val="5A432974"/>
    <w:rsid w:val="5A6A20C5"/>
    <w:rsid w:val="5AD64AF2"/>
    <w:rsid w:val="5B322515"/>
    <w:rsid w:val="5B544EB3"/>
    <w:rsid w:val="5B6A33DD"/>
    <w:rsid w:val="5BAA58C4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033F0"/>
    <w:rsid w:val="5EB61B43"/>
    <w:rsid w:val="5EBA7075"/>
    <w:rsid w:val="5EBF5DC8"/>
    <w:rsid w:val="5EFE5AC9"/>
    <w:rsid w:val="5F015114"/>
    <w:rsid w:val="5F02275D"/>
    <w:rsid w:val="5F14059B"/>
    <w:rsid w:val="5F291E1B"/>
    <w:rsid w:val="5F2A5093"/>
    <w:rsid w:val="5F3C602D"/>
    <w:rsid w:val="5F551AC0"/>
    <w:rsid w:val="5F616E2A"/>
    <w:rsid w:val="5FBE1EE2"/>
    <w:rsid w:val="5FE015B4"/>
    <w:rsid w:val="6018182B"/>
    <w:rsid w:val="601E0F43"/>
    <w:rsid w:val="60596F8D"/>
    <w:rsid w:val="607A50D0"/>
    <w:rsid w:val="608075E1"/>
    <w:rsid w:val="60E2267D"/>
    <w:rsid w:val="60E2667E"/>
    <w:rsid w:val="61326FB1"/>
    <w:rsid w:val="61384C31"/>
    <w:rsid w:val="613A51F3"/>
    <w:rsid w:val="61E77A7E"/>
    <w:rsid w:val="622A4138"/>
    <w:rsid w:val="62385483"/>
    <w:rsid w:val="62385A6C"/>
    <w:rsid w:val="625C2EBB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01F28"/>
    <w:rsid w:val="65BE04E1"/>
    <w:rsid w:val="65F429F0"/>
    <w:rsid w:val="665A6FDB"/>
    <w:rsid w:val="66B368AE"/>
    <w:rsid w:val="66B532F3"/>
    <w:rsid w:val="66C2760F"/>
    <w:rsid w:val="672506F4"/>
    <w:rsid w:val="67447ECF"/>
    <w:rsid w:val="675A3B6C"/>
    <w:rsid w:val="67AF7DB6"/>
    <w:rsid w:val="67B04461"/>
    <w:rsid w:val="680564C6"/>
    <w:rsid w:val="681744E0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085624"/>
    <w:rsid w:val="6A2323C0"/>
    <w:rsid w:val="6A287F98"/>
    <w:rsid w:val="6AB40496"/>
    <w:rsid w:val="6ABD1D5E"/>
    <w:rsid w:val="6ABD7204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DCF5F55"/>
    <w:rsid w:val="6E641038"/>
    <w:rsid w:val="6EBD0EA6"/>
    <w:rsid w:val="6F435405"/>
    <w:rsid w:val="6F4810D8"/>
    <w:rsid w:val="6F4D6275"/>
    <w:rsid w:val="6F516023"/>
    <w:rsid w:val="6F6D2BAA"/>
    <w:rsid w:val="6F9A4A47"/>
    <w:rsid w:val="701710D0"/>
    <w:rsid w:val="70795456"/>
    <w:rsid w:val="709946EC"/>
    <w:rsid w:val="71882FC7"/>
    <w:rsid w:val="71D4287B"/>
    <w:rsid w:val="724D0AFE"/>
    <w:rsid w:val="72702455"/>
    <w:rsid w:val="728F2E47"/>
    <w:rsid w:val="72973011"/>
    <w:rsid w:val="72DF3E4C"/>
    <w:rsid w:val="72E42D1B"/>
    <w:rsid w:val="731C6E4F"/>
    <w:rsid w:val="734F0911"/>
    <w:rsid w:val="736054C4"/>
    <w:rsid w:val="736C572D"/>
    <w:rsid w:val="73721B1D"/>
    <w:rsid w:val="73A422EB"/>
    <w:rsid w:val="73AF4F94"/>
    <w:rsid w:val="73E37C9B"/>
    <w:rsid w:val="74103E55"/>
    <w:rsid w:val="745B622A"/>
    <w:rsid w:val="749D60DF"/>
    <w:rsid w:val="753E2D2E"/>
    <w:rsid w:val="75DB13A5"/>
    <w:rsid w:val="75E552E3"/>
    <w:rsid w:val="7648538B"/>
    <w:rsid w:val="76577132"/>
    <w:rsid w:val="7662101C"/>
    <w:rsid w:val="76BD747C"/>
    <w:rsid w:val="76CD52EB"/>
    <w:rsid w:val="76FE004A"/>
    <w:rsid w:val="773C186D"/>
    <w:rsid w:val="77453882"/>
    <w:rsid w:val="77462C4C"/>
    <w:rsid w:val="77A268F6"/>
    <w:rsid w:val="77CC3658"/>
    <w:rsid w:val="77D83C52"/>
    <w:rsid w:val="780F54C3"/>
    <w:rsid w:val="782C6CF7"/>
    <w:rsid w:val="78680ECD"/>
    <w:rsid w:val="7878384E"/>
    <w:rsid w:val="7880670B"/>
    <w:rsid w:val="78B044E6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D339B9"/>
    <w:rsid w:val="7A200C95"/>
    <w:rsid w:val="7A594332"/>
    <w:rsid w:val="7A8564DB"/>
    <w:rsid w:val="7AAD11DD"/>
    <w:rsid w:val="7AC22B97"/>
    <w:rsid w:val="7B167424"/>
    <w:rsid w:val="7B1F77A4"/>
    <w:rsid w:val="7B292799"/>
    <w:rsid w:val="7C090682"/>
    <w:rsid w:val="7C6A6CA8"/>
    <w:rsid w:val="7CF04E00"/>
    <w:rsid w:val="7D316A00"/>
    <w:rsid w:val="7D3A1533"/>
    <w:rsid w:val="7D41026F"/>
    <w:rsid w:val="7D59343F"/>
    <w:rsid w:val="7D7635FF"/>
    <w:rsid w:val="7E0A78B3"/>
    <w:rsid w:val="7E2912F3"/>
    <w:rsid w:val="7E294099"/>
    <w:rsid w:val="7E5A410D"/>
    <w:rsid w:val="7E6F077A"/>
    <w:rsid w:val="7EAA17B2"/>
    <w:rsid w:val="7ECF6394"/>
    <w:rsid w:val="7F3D31DF"/>
    <w:rsid w:val="7F8244DD"/>
    <w:rsid w:val="7F9026D0"/>
    <w:rsid w:val="7F984417"/>
    <w:rsid w:val="7FA06711"/>
    <w:rsid w:val="7FBD281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9"/>
    <w:qFormat/>
    <w:uiPriority w:val="0"/>
    <w:pPr>
      <w:spacing w:after="120"/>
      <w:ind w:left="0"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link w:val="18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napToGrid w:val="0"/>
      <w:spacing w:before="25" w:after="25" w:line="360" w:lineRule="auto"/>
      <w:ind w:firstLine="540"/>
    </w:pPr>
    <w:rPr>
      <w:rFonts w:ascii="宋体" w:hAnsi="宋体"/>
      <w:kern w:val="0"/>
      <w:sz w:val="28"/>
    </w:rPr>
  </w:style>
  <w:style w:type="paragraph" w:styleId="9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正文文本 字符"/>
    <w:basedOn w:val="12"/>
    <w:link w:val="3"/>
    <w:qFormat/>
    <w:uiPriority w:val="1"/>
    <w:rPr>
      <w:rFonts w:ascii="宋体" w:hAnsi="宋体"/>
      <w:kern w:val="2"/>
    </w:rPr>
  </w:style>
  <w:style w:type="character" w:customStyle="1" w:styleId="19">
    <w:name w:val="正文文本首行缩进 字符"/>
    <w:basedOn w:val="18"/>
    <w:link w:val="2"/>
    <w:qFormat/>
    <w:uiPriority w:val="0"/>
    <w:rPr>
      <w:rFonts w:ascii="宋体" w:hAnsi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3311</Words>
  <Characters>18873</Characters>
  <Lines>157</Lines>
  <Paragraphs>44</Paragraphs>
  <TotalTime>8</TotalTime>
  <ScaleCrop>false</ScaleCrop>
  <LinksUpToDate>false</LinksUpToDate>
  <CharactersWithSpaces>22140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2022-06-30T01:04:00Z</dcterms:created>
  <dc:creator>微软用户</dc:creator>
  <cp:lastModifiedBy>肖新龙</cp:lastModifiedBy>
  <dcterms:modified xsi:type="dcterms:W3CDTF">2022-10-25T03:43:43Z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C6371889D5764F229E0D020FE621DC89</vt:lpwstr>
  </property>
</Properties>
</file>