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1DE" w:themeFill="accent3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shd w:val="clear" w:color="auto" w:fill="EBF1DE" w:themeFill="accent3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负责人：施莉芬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吕杭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4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2022-07-01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4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spacing w:before="0"/>
              <w:rPr>
                <w:rFonts w:hint="default"/>
              </w:rPr>
            </w:pPr>
            <w:r>
              <w:rPr>
                <w:rFonts w:hint="default"/>
              </w:rPr>
              <w:t>Q:5.3/6.2/8.2/</w:t>
            </w:r>
            <w:r>
              <w:rPr>
                <w:rFonts w:hint="eastAsia"/>
                <w:lang w:val="en-US" w:eastAsia="zh-CN"/>
              </w:rPr>
              <w:t>8.5.3/</w:t>
            </w:r>
            <w:r>
              <w:rPr>
                <w:rFonts w:hint="default"/>
                <w:lang w:val="en-US" w:eastAsia="zh-CN"/>
              </w:rPr>
              <w:t>8.5.5/</w:t>
            </w:r>
            <w:r>
              <w:rPr>
                <w:rFonts w:hint="default"/>
              </w:rPr>
              <w:t>9.1.2</w:t>
            </w:r>
          </w:p>
          <w:p>
            <w:r>
              <w:rPr>
                <w:rFonts w:hint="default"/>
              </w:rPr>
              <w:t>H:2.4.2/2.5.1/</w:t>
            </w:r>
            <w:r>
              <w:rPr>
                <w:rFonts w:hint="default"/>
                <w:lang w:val="en-US" w:eastAsia="zh-CN"/>
              </w:rPr>
              <w:t>3.9/</w:t>
            </w:r>
            <w:r>
              <w:rPr>
                <w:rFonts w:hint="default"/>
              </w:rPr>
              <w:t>5.2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 (V1.0)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Q5.3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主要负责顾客订单的接收、顾客满意度调查、顾客投诉处理、撤回/召回等工作。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目标</w:t>
            </w:r>
          </w:p>
          <w:p/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2.4.2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Q6.2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/>
              <w:sym w:font="Wingdings 2" w:char="0052"/>
            </w:r>
            <w:r>
              <w:rPr>
                <w:rFonts w:hint="eastAsia"/>
              </w:rPr>
              <w:t>《HACCP手册》</w:t>
            </w:r>
            <w:r>
              <w:rPr>
                <w:rFonts w:hint="eastAsia"/>
                <w:lang w:val="en-US" w:eastAsia="zh-CN"/>
              </w:rPr>
              <w:t xml:space="preserve"> 6.2条款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  <w:lang w:eastAsia="zh-CN"/>
              </w:rPr>
            </w:pPr>
            <w:r>
              <w:rPr>
                <w:u w:val="single"/>
              </w:rPr>
              <w:sym w:font="Wingdings 2" w:char="0052"/>
            </w:r>
            <w:r>
              <w:rPr>
                <w:rFonts w:hint="eastAsia"/>
                <w:u w:val="single"/>
                <w:vertAlign w:val="baseline"/>
              </w:rPr>
              <w:t>组织建立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u w:val="single"/>
                <w:vertAlign w:val="baseline"/>
              </w:rPr>
              <w:t>目标。</w:t>
            </w:r>
            <w:r>
              <w:rPr>
                <w:rFonts w:hint="eastAsia"/>
                <w:u w:val="single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pStyle w:val="2"/>
            </w:pPr>
          </w:p>
          <w:p>
            <w:r>
              <w:rPr>
                <w:rFonts w:hint="eastAsia"/>
                <w:lang w:val="en-US" w:eastAsia="zh-CN"/>
              </w:rPr>
              <w:t>本部门分解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质量/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2759"/>
              <w:gridCol w:w="1509"/>
              <w:gridCol w:w="2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质量/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275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审核周期2022-06至2022-08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1、顾客满意率≧98%；</w:t>
                  </w:r>
                </w:p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未明确，已与企业沟通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业务部</w:t>
                  </w:r>
                  <w:r>
                    <w:rPr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25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98.5%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/>
              </w:tc>
              <w:tc>
                <w:tcPr>
                  <w:tcW w:w="27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8.2.1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444"/>
              <w:gridCol w:w="2371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沟通阶段</w:t>
                  </w:r>
                </w:p>
              </w:tc>
              <w:tc>
                <w:tcPr>
                  <w:tcW w:w="344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37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售前</w:t>
                  </w:r>
                </w:p>
              </w:tc>
              <w:tc>
                <w:tcPr>
                  <w:tcW w:w="344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处理问询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vertAlign w:val="baseline"/>
                    </w:rPr>
                    <w:t>产品介绍、订货会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招、投标</w:t>
                  </w:r>
                </w:p>
              </w:tc>
              <w:tc>
                <w:tcPr>
                  <w:tcW w:w="237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售中</w:t>
                  </w:r>
                </w:p>
              </w:tc>
              <w:tc>
                <w:tcPr>
                  <w:tcW w:w="344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</w:t>
                  </w:r>
                  <w:r>
                    <w:rPr>
                      <w:rFonts w:hint="eastAsia"/>
                    </w:rPr>
                    <w:t>合同或订单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  <w:r>
                    <w:rPr>
                      <w:rFonts w:hint="eastAsia"/>
                    </w:rPr>
                    <w:t>变更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3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销售合同、系统下订单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</w:t>
                  </w:r>
                </w:p>
              </w:tc>
              <w:tc>
                <w:tcPr>
                  <w:tcW w:w="344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获取</w:t>
                  </w:r>
                  <w:r>
                    <w:rPr>
                      <w:rFonts w:hint="eastAsia"/>
                    </w:rPr>
                    <w:t>顾客反馈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投诉</w:t>
                  </w: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37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顾客满意度调查《顾客投诉处理单》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特殊情况</w:t>
                  </w:r>
                </w:p>
              </w:tc>
              <w:tc>
                <w:tcPr>
                  <w:tcW w:w="344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371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8.2.2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向顾客提供的产品和服务的要求</w:t>
            </w:r>
            <w:r>
              <w:rPr>
                <w:rFonts w:hint="eastAsia"/>
                <w:lang w:val="en-US" w:eastAsia="zh-CN"/>
              </w:rPr>
              <w:t>取决于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适用的法律法规要求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含产品标准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GB2707 、GB31650、食品安全法等                               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组织认为的必要要求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企业或顾客技术要求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符合产品标准及客户合同要求、外观完好、出货及时、新鲜度好等                                    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8.2.3 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目前和顾客约定的形式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招标书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投标书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书面合同（标书、合同、订单、传真）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口头合同（电话、口述）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电子合同（e-mail）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评审的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方式：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授权人签字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会签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开会讨论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填写表格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向顾客提供的产品和服务的要求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82"/>
              <w:gridCol w:w="5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产品符合食品安全标准，产品保质期，批检报告等质量证明文件，甲方的资质证件要齐全，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提前7天提交《调价单》，产品品质规格、包装、交货期限等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外观完好、配送及时、冷藏配送、净含量满足要求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组织规定的要求；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产品符合标准要求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适用于产品和服务的法律法规要求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符合食品安全法、GB2707、GB31650标准要求等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与先前表述存在差异的合同或订单要求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产品和服务的新要求</w:t>
                  </w:r>
                </w:p>
              </w:tc>
              <w:tc>
                <w:tcPr>
                  <w:tcW w:w="5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合同评审表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8"/>
              <w:gridCol w:w="1166"/>
              <w:gridCol w:w="1159"/>
              <w:gridCol w:w="124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24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2021.12.31（客户名称：上海盒马物联网有限公司）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分割猪肉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按照实际订单要求完成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按照客户订单要求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见物流仓储部审核记录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2021.12.31（客户名称：上海壹佰米网络科技有限公司）</w:t>
                  </w:r>
                </w:p>
              </w:tc>
              <w:tc>
                <w:tcPr>
                  <w:tcW w:w="11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分割猪肉</w:t>
                  </w: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按照实际订单要求完成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按照客户订单要求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见物流仓储部审核记录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提供有《产品销售台账》，通过追溯思路，基本可以从生产订单追溯到销售客户手中；</w:t>
            </w:r>
          </w:p>
          <w:p>
            <w:pPr>
              <w:pStyle w:val="2"/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提供有《运输车辆卫生检查记录表》，具体见“生产部审核记录”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与先前合同或订单的要求存在差异，有关事项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已得到解决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未解决，说明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 xml:space="preserve">——审核周期内未完成 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顾客没有提供形成文件的要求，在接受顾客要求前应对顾客要求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已完成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。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网上销售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已存在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不存在</w:t>
            </w:r>
          </w:p>
          <w:p>
            <w:pPr>
              <w:rPr>
                <w:rFonts w:hint="default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查看公司网站的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产品信息，如产品目录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——不涉及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具备提供产品或服务的能力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不具备提供产品或服务的能力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如：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技术要求（图纸、工艺）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color w:val="0000FF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FF"/>
                <w:lang w:val="en-US" w:eastAsia="zh-CN"/>
              </w:rPr>
              <w:t>其他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color w:val="0000FF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FF"/>
                <w:lang w:val="en-US" w:eastAsia="zh-CN"/>
              </w:rPr>
              <w:t>其他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</w:t>
            </w:r>
            <w:r>
              <w:rPr>
                <w:rFonts w:hint="eastAsia"/>
                <w:lang w:val="en-US" w:eastAsia="zh-CN"/>
              </w:rPr>
              <w:t>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审核周期内未发生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 xml:space="preserve">如：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《产品/服务提供控制程序》、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顾客信息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lang w:val="en-US" w:eastAsia="zh-CN"/>
              </w:rPr>
              <w:t>——审核周期内未发生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《产品/服务提供控制程序》或《售后服务控制程序》、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《与顾客有关过程的控制》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其他——客诉处理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控制相关记录名称：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审核周期内未发生   </w:t>
            </w:r>
            <w:r>
              <w:rPr>
                <w:rFonts w:hint="eastAsia"/>
                <w:u w:val="single"/>
                <w:lang w:val="en-US" w:eastAsia="zh-CN"/>
              </w:rPr>
              <w:t xml:space="preserve">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《顾客满意控制程序》、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《服务及顾客抱怨管理程序》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</w:p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顾客满意的收集、分析和改进证据如下：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顾客满意获取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发送4份，回收4份；顾客满意度98.5%，满意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有因质量问题而反馈的内容，不涉及食品安全问题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vertAlign w:val="baseline"/>
                      <w:lang w:val="en-US" w:eastAsia="zh-CN"/>
                    </w:rPr>
                    <w:t>审核周期内还未发生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产品撤回和召回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3.9  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产品标识、可追溯性和召回控制程序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确保及时撤回或召回受食品安全危害影响的全部放行产品。该计划应包括以下方面的要求：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a）启动和实施产品撤回和召回计划人员的职责和权限；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b）产品撤回和召回行动需符合的相关法律、法规和其他相关要求；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c）受食品安全危害影响产品的撤回和召回措施；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d）对撤回或召回的产品进行分析和处置的措施，包括对可能受影响的其他产品的评估和处置；撤回或召回的产品在最终完成处置前应在控制下保管，防止非预期使用；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——“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见生产部审核记录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”</w:t>
            </w:r>
            <w:r>
              <w:rPr>
                <w:rFonts w:hint="eastAsia"/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p>
            <w:pPr>
              <w:rPr>
                <w:highlight w:val="non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255"/>
              <w:gridCol w:w="1418"/>
              <w:gridCol w:w="1247"/>
              <w:gridCol w:w="122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撤回原因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撤回范围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撤回结果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见《产品召回记录》， 并向最高管理者报告， 作为管理评审的输入。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审核周期内未发生撤回/召回，参加公司组织的撤回召回演练，见——“生产部审核记录”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投诉处理</w:t>
            </w:r>
          </w:p>
          <w:p>
            <w:pPr>
              <w:shd w:val="clear" w:fill="EBF1DE" w:themeFill="accent3" w:themeFillTint="32"/>
            </w:pP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5.2 </w:t>
            </w:r>
          </w:p>
          <w:p>
            <w:pPr>
              <w:shd w:val="clear" w:fill="EBF1DE" w:themeFill="accent3" w:themeFillTint="32"/>
            </w:pPr>
          </w:p>
        </w:tc>
        <w:tc>
          <w:tcPr>
            <w:tcW w:w="745" w:type="dxa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  <w:r>
              <w:rPr/>
              <w:sym w:font="Wingdings 2" w:char="00A3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《服务及顾客抱怨管理程序》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shd w:val="clear" w:fill="EBF1DE" w:themeFill="accent3" w:themeFillTint="32"/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shd w:val="clear" w:fill="EBF1DE" w:themeFill="accent3" w:themeFillTint="32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</w:p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</w:p>
        </w:tc>
        <w:tc>
          <w:tcPr>
            <w:tcW w:w="745" w:type="dxa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pPr>
              <w:shd w:val="clear" w:fill="EBF1DE" w:themeFill="accent3" w:themeFillTint="32"/>
              <w:rPr>
                <w:rFonts w:hint="eastAsia"/>
              </w:rPr>
            </w:pPr>
            <w:r>
              <w:rPr>
                <w:rFonts w:hint="eastAsia"/>
              </w:rPr>
              <w:t>企业对投诉及投诉信息进行管理：</w:t>
            </w:r>
          </w:p>
          <w:p>
            <w:pPr>
              <w:shd w:val="clear" w:fill="EBF1DE" w:themeFill="accent3" w:themeFillTint="32"/>
              <w:rPr>
                <w:u w:val="single"/>
              </w:rPr>
            </w:pPr>
            <w:r>
              <w:rPr>
                <w:rFonts w:hint="eastAsia"/>
              </w:rPr>
              <w:t>查看投诉处理记录：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产品质量信息反馈表》《顾客投诉处理记录》</w:t>
            </w:r>
            <w:r>
              <w:rPr>
                <w:rFonts w:hint="eastAsia"/>
                <w:u w:val="single"/>
              </w:rPr>
              <w:t xml:space="preserve">        </w:t>
            </w:r>
          </w:p>
          <w:tbl>
            <w:tblPr>
              <w:tblStyle w:val="7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944"/>
              <w:gridCol w:w="2024"/>
              <w:gridCol w:w="1128"/>
              <w:gridCol w:w="1024"/>
              <w:gridCol w:w="1304"/>
              <w:gridCol w:w="13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投诉日期</w:t>
                  </w:r>
                </w:p>
              </w:tc>
              <w:tc>
                <w:tcPr>
                  <w:tcW w:w="944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投诉人</w:t>
                  </w:r>
                </w:p>
              </w:tc>
              <w:tc>
                <w:tcPr>
                  <w:tcW w:w="2024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投诉内容</w:t>
                  </w:r>
                </w:p>
              </w:tc>
              <w:tc>
                <w:tcPr>
                  <w:tcW w:w="1128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投诉方式</w:t>
                  </w:r>
                </w:p>
              </w:tc>
              <w:tc>
                <w:tcPr>
                  <w:tcW w:w="1024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受理人</w:t>
                  </w: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处理结果</w:t>
                  </w: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2022-09-16</w:t>
                  </w:r>
                </w:p>
              </w:tc>
              <w:tc>
                <w:tcPr>
                  <w:tcW w:w="944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叮咚买菜品管部</w:t>
                  </w:r>
                </w:p>
              </w:tc>
              <w:tc>
                <w:tcPr>
                  <w:tcW w:w="2024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冷鲜肉末320g，客户反馈过肥</w:t>
                  </w:r>
                </w:p>
              </w:tc>
              <w:tc>
                <w:tcPr>
                  <w:tcW w:w="1128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024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2022-06-16</w:t>
                  </w:r>
                </w:p>
              </w:tc>
              <w:tc>
                <w:tcPr>
                  <w:tcW w:w="944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盒马日日鲜客户</w:t>
                  </w:r>
                </w:p>
              </w:tc>
              <w:tc>
                <w:tcPr>
                  <w:tcW w:w="2024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手切肉末有软骨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 w:fill="EBF1DE" w:themeFill="accent3" w:themeFillTint="3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shd w:val="clear" w:fill="EBF1DE" w:themeFill="accent3" w:themeFillTint="3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shd w:val="clear" w:fill="EBF1DE" w:themeFill="accent3" w:themeFillTint="3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shd w:val="clear" w:fill="EBF1DE" w:themeFill="accent3" w:themeFillTint="3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944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2024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1128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1024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</w:pPr>
                </w:p>
              </w:tc>
              <w:tc>
                <w:tcPr>
                  <w:tcW w:w="1304" w:type="dxa"/>
                </w:tcPr>
                <w:p>
                  <w:pPr>
                    <w:shd w:val="clear" w:fill="EBF1DE" w:themeFill="accent3" w:themeFillTint="32"/>
                  </w:pPr>
                </w:p>
              </w:tc>
            </w:tr>
          </w:tbl>
          <w:p>
            <w:pPr>
              <w:shd w:val="clear" w:fill="EBF1DE" w:themeFill="accent3" w:themeFillTint="3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投诉主要是由盒马进行反馈，基本反馈是质量问题，审核周期内未发生食品安全事故方面的投诉。</w:t>
            </w:r>
          </w:p>
          <w:p>
            <w:pPr>
              <w:pStyle w:val="2"/>
              <w:shd w:val="clear" w:fill="EBF1DE" w:themeFill="accent3" w:themeFillTint="32"/>
              <w:rPr>
                <w:rFonts w:hint="default"/>
                <w:lang w:val="en-US" w:eastAsia="zh-CN"/>
              </w:rPr>
            </w:pPr>
          </w:p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企业应规定负责投诉处理人员的职责权限。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已规定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>
            <w:pPr>
              <w:shd w:val="clear" w:fill="EBF1DE" w:themeFill="accent3" w:themeFillTint="32"/>
            </w:pPr>
          </w:p>
        </w:tc>
      </w:tr>
    </w:tbl>
    <w:p>
      <w:pPr>
        <w:pStyle w:val="4"/>
      </w:pPr>
      <w:r>
        <w:rPr>
          <w:rFonts w:hint="eastAsia"/>
        </w:rPr>
        <w:t>说明：不符合标</w:t>
      </w:r>
      <w:bookmarkStart w:id="0" w:name="_GoBack"/>
      <w:bookmarkEnd w:id="0"/>
      <w:r>
        <w:rPr>
          <w:rFonts w:hint="eastAsia"/>
        </w:rPr>
        <w:t>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-53975</wp:posOffset>
          </wp:positionV>
          <wp:extent cx="485775" cy="485775"/>
          <wp:effectExtent l="0" t="0" r="9525" b="9525"/>
          <wp:wrapSquare wrapText="bothSides"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CB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9E53C5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8F423D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E5595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42442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AD16DE"/>
    <w:rsid w:val="5FE015B4"/>
    <w:rsid w:val="6018182B"/>
    <w:rsid w:val="601E0F43"/>
    <w:rsid w:val="60543DBD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616A34"/>
    <w:rsid w:val="70795456"/>
    <w:rsid w:val="709946EC"/>
    <w:rsid w:val="71FC5C41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9C57DD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2022-10-24T02:45:36Z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0F53255DA5B9471594119A055884BF0F</vt:lpwstr>
  </property>
</Properties>
</file>