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0730-2020-QE-2022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156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710"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江西天仙精藏设备有限公司</w:t>
            </w:r>
            <w:bookmarkEnd w:id="1"/>
          </w:p>
        </w:tc>
        <w:tc>
          <w:tcPr>
            <w:tcW w:w="1566"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2110"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褚敏杰</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710" w:type="dxa"/>
            <w:gridSpan w:val="2"/>
          </w:tcPr>
          <w:p>
            <w:pPr>
              <w:snapToGrid w:val="0"/>
              <w:spacing w:line="0" w:lineRule="atLeast"/>
              <w:jc w:val="center"/>
              <w:rPr>
                <w:sz w:val="22"/>
                <w:szCs w:val="22"/>
              </w:rPr>
            </w:pPr>
          </w:p>
        </w:tc>
        <w:tc>
          <w:tcPr>
            <w:tcW w:w="1566" w:type="dxa"/>
          </w:tcPr>
          <w:p>
            <w:pPr>
              <w:snapToGrid w:val="0"/>
              <w:spacing w:line="0" w:lineRule="atLeast"/>
              <w:jc w:val="center"/>
              <w:rPr>
                <w:sz w:val="22"/>
                <w:szCs w:val="22"/>
              </w:rPr>
            </w:pPr>
            <w:r>
              <w:rPr>
                <w:rFonts w:hint="eastAsia"/>
                <w:sz w:val="22"/>
                <w:szCs w:val="22"/>
                <w:lang w:val="en-GB"/>
              </w:rPr>
              <w:t>证书号</w:t>
            </w:r>
          </w:p>
        </w:tc>
        <w:tc>
          <w:tcPr>
            <w:tcW w:w="2110" w:type="dxa"/>
          </w:tcPr>
          <w:p>
            <w:pPr>
              <w:snapToGrid w:val="0"/>
              <w:spacing w:line="0" w:lineRule="atLeast"/>
              <w:jc w:val="center"/>
              <w:rPr>
                <w:sz w:val="22"/>
                <w:szCs w:val="22"/>
              </w:rPr>
            </w:pPr>
            <w:bookmarkStart w:id="3" w:name="证书编号"/>
            <w:r>
              <w:rPr>
                <w:sz w:val="22"/>
                <w:szCs w:val="22"/>
              </w:rPr>
              <w:t>Q:ISC-Q-2021-1280,E:ISC-E-2021-0870,O: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710" w:type="dxa"/>
            <w:gridSpan w:val="2"/>
          </w:tcPr>
          <w:p>
            <w:pPr>
              <w:snapToGrid w:val="0"/>
              <w:spacing w:line="0" w:lineRule="atLeast"/>
              <w:jc w:val="center"/>
              <w:rPr>
                <w:sz w:val="22"/>
                <w:szCs w:val="22"/>
              </w:rPr>
            </w:pPr>
            <w:bookmarkStart w:id="4" w:name="机构代码"/>
            <w:r>
              <w:rPr>
                <w:sz w:val="22"/>
                <w:szCs w:val="22"/>
              </w:rPr>
              <w:t>91360982767006168Y</w:t>
            </w:r>
            <w:bookmarkEnd w:id="4"/>
          </w:p>
        </w:tc>
        <w:tc>
          <w:tcPr>
            <w:tcW w:w="1566" w:type="dxa"/>
          </w:tcPr>
          <w:p>
            <w:pPr>
              <w:snapToGrid w:val="0"/>
              <w:spacing w:line="0" w:lineRule="atLeast"/>
              <w:jc w:val="center"/>
              <w:rPr>
                <w:sz w:val="22"/>
                <w:szCs w:val="22"/>
              </w:rPr>
            </w:pPr>
            <w:r>
              <w:rPr>
                <w:rFonts w:hint="eastAsia"/>
                <w:sz w:val="22"/>
                <w:szCs w:val="22"/>
              </w:rPr>
              <w:t>是否带CNAS标志</w:t>
            </w:r>
          </w:p>
        </w:tc>
        <w:tc>
          <w:tcPr>
            <w:tcW w:w="2110" w:type="dxa"/>
          </w:tcPr>
          <w:p>
            <w:pPr>
              <w:snapToGrid w:val="0"/>
              <w:spacing w:line="0" w:lineRule="atLeast"/>
              <w:rPr>
                <w:sz w:val="22"/>
                <w:szCs w:val="22"/>
              </w:rPr>
            </w:pPr>
            <w:bookmarkStart w:id="5" w:name="认可标志"/>
            <w:r>
              <w:rPr>
                <w:sz w:val="22"/>
                <w:szCs w:val="22"/>
              </w:rPr>
              <w:t>Q:无CNAS标志,E:无CNAS标志,O:有CNAS标志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710" w:type="dxa"/>
            <w:gridSpan w:val="2"/>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566" w:type="dxa"/>
          </w:tcPr>
          <w:p>
            <w:pPr>
              <w:snapToGrid w:val="0"/>
              <w:spacing w:line="0" w:lineRule="atLeast"/>
              <w:jc w:val="center"/>
              <w:rPr>
                <w:sz w:val="22"/>
                <w:szCs w:val="22"/>
              </w:rPr>
            </w:pPr>
            <w:r>
              <w:rPr>
                <w:rFonts w:hint="eastAsia"/>
                <w:sz w:val="22"/>
                <w:szCs w:val="22"/>
              </w:rPr>
              <w:t>企业体系有效人数</w:t>
            </w:r>
          </w:p>
        </w:tc>
        <w:tc>
          <w:tcPr>
            <w:tcW w:w="2110" w:type="dxa"/>
          </w:tcPr>
          <w:p>
            <w:pPr>
              <w:snapToGrid w:val="0"/>
              <w:spacing w:line="0" w:lineRule="atLeast"/>
              <w:jc w:val="center"/>
              <w:rPr>
                <w:sz w:val="22"/>
                <w:szCs w:val="22"/>
              </w:rPr>
            </w:pPr>
            <w:bookmarkStart w:id="13" w:name="体系人数"/>
            <w:r>
              <w:rPr>
                <w:sz w:val="22"/>
                <w:szCs w:val="22"/>
              </w:rPr>
              <w:t>Q:45,E:45,O:45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8" w:name="组织名称Add1"/>
            <w:r>
              <w:rPr>
                <w:rFonts w:hint="eastAsia"/>
                <w:sz w:val="22"/>
                <w:szCs w:val="22"/>
              </w:rPr>
              <w:t>江西天仙精藏设备有限公司</w:t>
            </w:r>
            <w:bookmarkEnd w:id="18"/>
          </w:p>
        </w:tc>
        <w:tc>
          <w:tcPr>
            <w:tcW w:w="5013" w:type="dxa"/>
            <w:gridSpan w:val="3"/>
            <w:vMerge w:val="restart"/>
          </w:tcPr>
          <w:p>
            <w:pPr>
              <w:snapToGrid w:val="0"/>
              <w:spacing w:line="0" w:lineRule="atLeast"/>
              <w:jc w:val="left"/>
              <w:rPr>
                <w:sz w:val="22"/>
                <w:szCs w:val="22"/>
              </w:rPr>
            </w:pPr>
            <w:bookmarkStart w:id="19" w:name="审核范围"/>
            <w:r>
              <w:rPr>
                <w:sz w:val="22"/>
                <w:szCs w:val="22"/>
              </w:rPr>
              <w:t>O：骨灰盒存放架、智能型骨灰盒存放架、无电智能骨灰存放架、福寿架、牌位架的生产、销售、售后服务；太平柜、瞻仰台、解剖台、骨灰盒存放架远程及现场祭拜管理系统、骨灰盒存放架大数据云管理平台、骨灰盒存放架AI人工智能存放系统、骨灰盒存放架区块链加密系统、智慧殡葬管理系统、智慧寺院管理系统、计算机软硬件的销售、售后服务及其所涉及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江西省樟树市城北工业园</w:t>
            </w:r>
            <w:bookmarkEnd w:id="20"/>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r>
              <w:rPr>
                <w:rFonts w:hint="eastAsia"/>
                <w:sz w:val="22"/>
                <w:szCs w:val="22"/>
                <w:lang w:val="en-GB"/>
              </w:rPr>
              <w:t>江西省樟树市城北工业园</w:t>
            </w:r>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3"/>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pStyle w:val="2"/>
              <w:spacing w:line="400" w:lineRule="exact"/>
              <w:ind w:firstLine="0"/>
              <w:rPr>
                <w:b/>
                <w:color w:val="000000" w:themeColor="text1"/>
                <w:sz w:val="22"/>
                <w:szCs w:val="22"/>
              </w:rPr>
            </w:pPr>
            <w:bookmarkStart w:id="21" w:name="组织名称英"/>
            <w:r>
              <w:rPr>
                <w:b/>
                <w:color w:val="000000" w:themeColor="text1"/>
                <w:sz w:val="22"/>
                <w:szCs w:val="22"/>
              </w:rPr>
              <w:t>Jiangxi Tianxian Jingzang Equipment Co., Ltd</w:t>
            </w:r>
            <w:bookmarkEnd w:id="21"/>
          </w:p>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2"/>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2"/>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b/>
                <w:color w:val="000000" w:themeColor="text1"/>
                <w:sz w:val="22"/>
                <w:szCs w:val="22"/>
              </w:rPr>
              <w:t>Chengbei Industrial Park, Zhangshu City, Jiangxi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2"/>
          </w:tcPr>
          <w:p>
            <w:pPr>
              <w:snapToGrid w:val="0"/>
              <w:spacing w:line="0" w:lineRule="atLeast"/>
              <w:jc w:val="left"/>
              <w:rPr>
                <w:sz w:val="22"/>
                <w:szCs w:val="22"/>
              </w:rPr>
            </w:pPr>
            <w:r>
              <w:rPr>
                <w:sz w:val="22"/>
                <w:szCs w:val="22"/>
              </w:rPr>
              <w:t xml:space="preserve">Production, sales and after-sales service of cinerary box storage rack, intelligent cinerary box storage rack, non electric intelligent cinerary storage rack, Fu Shou rack and sign rack; Taiping cabinet, grandstand, dissecting table, remote and on-site worship management system for the storage rack of ashes box, big data cloud management platform for the storage rack of ashes box, AI artificial </w:t>
            </w:r>
            <w:bookmarkStart w:id="22" w:name="_GoBack"/>
            <w:r>
              <w:rPr>
                <w:rFonts w:hint="eastAsia" w:eastAsia="宋体"/>
                <w:lang w:eastAsia="zh-CN"/>
              </w:rPr>
              <w:drawing>
                <wp:anchor distT="0" distB="0" distL="114300" distR="114300" simplePos="0" relativeHeight="251661312" behindDoc="0" locked="0" layoutInCell="1" allowOverlap="1">
                  <wp:simplePos x="0" y="0"/>
                  <wp:positionH relativeFrom="column">
                    <wp:posOffset>-4684395</wp:posOffset>
                  </wp:positionH>
                  <wp:positionV relativeFrom="paragraph">
                    <wp:posOffset>-898525</wp:posOffset>
                  </wp:positionV>
                  <wp:extent cx="7560945" cy="10692130"/>
                  <wp:effectExtent l="0" t="0" r="1905" b="13970"/>
                  <wp:wrapNone/>
                  <wp:docPr id="1" name="图片 1" descr="MX-C3121R_20221025_152128_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X-C3121R_20221025_152128_0008"/>
                          <pic:cNvPicPr>
                            <a:picLocks noChangeAspect="1"/>
                          </pic:cNvPicPr>
                        </pic:nvPicPr>
                        <pic:blipFill>
                          <a:blip r:embed="rId5"/>
                          <a:stretch>
                            <a:fillRect/>
                          </a:stretch>
                        </pic:blipFill>
                        <pic:spPr>
                          <a:xfrm>
                            <a:off x="0" y="0"/>
                            <a:ext cx="7560945" cy="10692130"/>
                          </a:xfrm>
                          <a:prstGeom prst="rect">
                            <a:avLst/>
                          </a:prstGeom>
                        </pic:spPr>
                      </pic:pic>
                    </a:graphicData>
                  </a:graphic>
                </wp:anchor>
              </w:drawing>
            </w:r>
            <w:bookmarkEnd w:id="22"/>
            <w:r>
              <w:rPr>
                <w:sz w:val="22"/>
                <w:szCs w:val="22"/>
              </w:rPr>
              <w:t>intelligence storage system for the storage rack of ashes box, blockchain encryption system for the storage rack of ashes box, intelligent funeral management system, intelligent temple management system, computer software and hardware sales, after-sales service and related occupational health and safety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b/>
                <w:color w:val="000000" w:themeColor="text1"/>
                <w:sz w:val="22"/>
                <w:szCs w:val="22"/>
              </w:rPr>
              <w:t>Chengbei Industrial Park, Zhangshu City, Jiangxi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71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566" w:type="dxa"/>
          </w:tcPr>
          <w:p>
            <w:pPr>
              <w:snapToGrid w:val="0"/>
              <w:spacing w:line="0" w:lineRule="atLeast"/>
              <w:jc w:val="left"/>
              <w:rPr>
                <w:sz w:val="22"/>
                <w:szCs w:val="22"/>
              </w:rPr>
            </w:pPr>
            <w:r>
              <w:rPr>
                <w:rFonts w:hint="eastAsia"/>
                <w:sz w:val="22"/>
                <w:szCs w:val="18"/>
              </w:rPr>
              <w:t>审核组长签字</w:t>
            </w:r>
          </w:p>
        </w:tc>
        <w:tc>
          <w:tcPr>
            <w:tcW w:w="2110" w:type="dxa"/>
          </w:tcPr>
          <w:p>
            <w:pPr>
              <w:snapToGrid w:val="0"/>
              <w:spacing w:line="0" w:lineRule="atLeast"/>
              <w:jc w:val="left"/>
              <w:rPr>
                <w:sz w:val="22"/>
                <w:szCs w:val="22"/>
              </w:rPr>
            </w:pPr>
            <w:r>
              <w:rPr>
                <w:rFonts w:hint="eastAsia"/>
                <w:sz w:val="21"/>
                <w:szCs w:val="21"/>
              </w:rPr>
              <w:drawing>
                <wp:anchor distT="0" distB="0" distL="114300" distR="114300" simplePos="0" relativeHeight="251660288" behindDoc="0" locked="0" layoutInCell="1" allowOverlap="1">
                  <wp:simplePos x="0" y="0"/>
                  <wp:positionH relativeFrom="column">
                    <wp:posOffset>17145</wp:posOffset>
                  </wp:positionH>
                  <wp:positionV relativeFrom="paragraph">
                    <wp:posOffset>12065</wp:posOffset>
                  </wp:positionV>
                  <wp:extent cx="1180465" cy="711835"/>
                  <wp:effectExtent l="0" t="0" r="635" b="12065"/>
                  <wp:wrapNone/>
                  <wp:docPr id="3" name="图片 3"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褚敏杰1"/>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1180465" cy="711835"/>
                          </a:xfrm>
                          <a:prstGeom prst="rect">
                            <a:avLst/>
                          </a:prstGeom>
                        </pic:spPr>
                      </pic:pic>
                    </a:graphicData>
                  </a:graphic>
                </wp:anchor>
              </w:drawing>
            </w:r>
          </w:p>
        </w:tc>
      </w:tr>
    </w:tbl>
    <w:p>
      <w:pPr>
        <w:snapToGrid w:val="0"/>
        <w:spacing w:line="0" w:lineRule="atLeast"/>
        <w:jc w:val="center"/>
        <w:rPr>
          <w:szCs w:val="24"/>
        </w:rPr>
      </w:pPr>
    </w:p>
    <w:p>
      <w:pPr>
        <w:snapToGrid w:val="0"/>
        <w:spacing w:line="0" w:lineRule="atLeast"/>
        <w:rPr>
          <w:rFonts w:hint="eastAsia" w:eastAsia="宋体"/>
          <w:lang w:eastAsia="zh-CN"/>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E5NTRmZWE1ODkyMzI3NzUzMjUzZWZjMTFlMDk4OTYifQ=="/>
  </w:docVars>
  <w:rsids>
    <w:rsidRoot w:val="00FC1457"/>
    <w:rsid w:val="00073F42"/>
    <w:rsid w:val="007109DE"/>
    <w:rsid w:val="00FC1457"/>
    <w:rsid w:val="11DE0FB5"/>
    <w:rsid w:val="146566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955</Words>
  <Characters>1960</Characters>
  <Lines>16</Lines>
  <Paragraphs>4</Paragraphs>
  <TotalTime>3</TotalTime>
  <ScaleCrop>false</ScaleCrop>
  <LinksUpToDate>false</LinksUpToDate>
  <CharactersWithSpaces>2214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lenovo1018</cp:lastModifiedBy>
  <cp:lastPrinted>2019-05-13T03:13:00Z</cp:lastPrinted>
  <dcterms:modified xsi:type="dcterms:W3CDTF">2022-10-26T02:56:41Z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2052-11.1.0.12358</vt:lpwstr>
  </property>
</Properties>
</file>