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09"/>
        <w:gridCol w:w="10371"/>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0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71" w:type="dxa"/>
            <w:vAlign w:val="center"/>
          </w:tcPr>
          <w:p>
            <w:pPr>
              <w:rPr>
                <w:rFonts w:hint="eastAsia"/>
                <w:sz w:val="24"/>
                <w:szCs w:val="24"/>
              </w:rPr>
            </w:pPr>
            <w:r>
              <w:rPr>
                <w:rFonts w:hint="eastAsia"/>
                <w:sz w:val="24"/>
                <w:szCs w:val="24"/>
              </w:rPr>
              <w:t>受审核部门：</w:t>
            </w:r>
            <w:r>
              <w:rPr>
                <w:rFonts w:hint="eastAsia"/>
                <w:sz w:val="24"/>
                <w:szCs w:val="24"/>
                <w:lang w:eastAsia="zh-CN"/>
              </w:rPr>
              <w:t>管理层安全事务代表</w:t>
            </w:r>
            <w:r>
              <w:rPr>
                <w:rFonts w:hint="eastAsia"/>
                <w:sz w:val="24"/>
                <w:szCs w:val="24"/>
              </w:rPr>
              <w:t xml:space="preserve">     主管领导：</w:t>
            </w:r>
            <w:bookmarkStart w:id="0" w:name="管理者代表"/>
            <w:r>
              <w:rPr>
                <w:rFonts w:hint="eastAsia"/>
                <w:sz w:val="24"/>
                <w:szCs w:val="24"/>
              </w:rPr>
              <w:t>聂勇华</w:t>
            </w:r>
            <w:bookmarkEnd w:id="0"/>
            <w:r>
              <w:rPr>
                <w:rFonts w:hint="eastAsia"/>
                <w:sz w:val="24"/>
                <w:szCs w:val="24"/>
                <w:lang w:eastAsia="zh-CN"/>
              </w:rPr>
              <w:t>、黄鹤飞</w:t>
            </w:r>
            <w:r>
              <w:rPr>
                <w:rFonts w:hint="eastAsia"/>
                <w:sz w:val="24"/>
                <w:szCs w:val="24"/>
              </w:rPr>
              <w:t xml:space="preserve">   陪同人员：</w:t>
            </w:r>
            <w:bookmarkStart w:id="1" w:name="联系人"/>
            <w:r>
              <w:rPr>
                <w:rFonts w:hint="eastAsia"/>
                <w:sz w:val="24"/>
                <w:szCs w:val="24"/>
              </w:rPr>
              <w:t>范卫岑</w:t>
            </w:r>
            <w:bookmarkEnd w:id="1"/>
          </w:p>
        </w:tc>
        <w:tc>
          <w:tcPr>
            <w:tcW w:w="96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209" w:type="dxa"/>
            <w:vMerge w:val="continue"/>
            <w:vAlign w:val="center"/>
          </w:tcPr>
          <w:p/>
        </w:tc>
        <w:tc>
          <w:tcPr>
            <w:tcW w:w="10371" w:type="dxa"/>
            <w:vAlign w:val="center"/>
          </w:tcPr>
          <w:p>
            <w:pPr>
              <w:rPr>
                <w:rFonts w:hint="eastAsia"/>
                <w:sz w:val="24"/>
                <w:szCs w:val="24"/>
              </w:rPr>
            </w:pPr>
            <w:r>
              <w:rPr>
                <w:rFonts w:hint="eastAsia"/>
                <w:sz w:val="24"/>
                <w:szCs w:val="24"/>
              </w:rPr>
              <w:t>审核员：</w:t>
            </w:r>
            <w:bookmarkStart w:id="2" w:name="审核组成员不含组长"/>
            <w:r>
              <w:rPr>
                <w:rFonts w:hint="eastAsia"/>
                <w:sz w:val="24"/>
                <w:szCs w:val="24"/>
              </w:rPr>
              <w:t>曾赣玲</w:t>
            </w:r>
            <w:bookmarkEnd w:id="2"/>
            <w:r>
              <w:rPr>
                <w:rFonts w:hint="eastAsia"/>
                <w:sz w:val="24"/>
                <w:szCs w:val="24"/>
              </w:rPr>
              <w:t xml:space="preserve">                              审核时间：</w:t>
            </w:r>
            <w:bookmarkStart w:id="3" w:name="审核日期"/>
            <w:r>
              <w:rPr>
                <w:rFonts w:hint="eastAsia"/>
                <w:sz w:val="24"/>
                <w:szCs w:val="24"/>
              </w:rPr>
              <w:t>2022年10月24日</w:t>
            </w:r>
            <w:bookmarkEnd w:id="3"/>
          </w:p>
        </w:tc>
        <w:tc>
          <w:tcPr>
            <w:tcW w:w="96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209" w:type="dxa"/>
            <w:vMerge w:val="continue"/>
            <w:vAlign w:val="center"/>
          </w:tcPr>
          <w:p/>
        </w:tc>
        <w:tc>
          <w:tcPr>
            <w:tcW w:w="10371" w:type="dxa"/>
            <w:vAlign w:val="center"/>
          </w:tcPr>
          <w:p>
            <w:pPr>
              <w:pStyle w:val="2"/>
              <w:rPr>
                <w:szCs w:val="24"/>
              </w:rPr>
            </w:pPr>
            <w:r>
              <w:rPr>
                <w:rFonts w:hint="eastAsia"/>
                <w:szCs w:val="24"/>
              </w:rPr>
              <w:t xml:space="preserve">审核条款：     </w:t>
            </w:r>
          </w:p>
          <w:p>
            <w:pPr>
              <w:spacing w:line="240" w:lineRule="auto"/>
              <w:rPr>
                <w:szCs w:val="22"/>
              </w:rPr>
            </w:pPr>
            <w:r>
              <w:rPr>
                <w:rFonts w:hint="eastAsia"/>
                <w:szCs w:val="22"/>
              </w:rPr>
              <w:t>QEO：4.1理解组织及其环境、4.2理解相关方的需求和期望、4.3 确定管理体系的范围、4.4质量/环境/职业健康安全管理体系及其过程、5.1领导作用和承诺、5.2质量/环境/职业健康安全方针、5.3组织的岗位、职责和权限、6.1应对风险和机遇的措施、6.2质量/环境/职业健康安全目标及其实现的策划、7.1.1（EO7.1）资源总则、7.4沟通/信息交流、9.3管理评审、10.1改进、10.3持续改进</w:t>
            </w:r>
          </w:p>
          <w:p>
            <w:pPr>
              <w:spacing w:line="240" w:lineRule="auto"/>
              <w:rPr>
                <w:szCs w:val="22"/>
              </w:rPr>
            </w:pPr>
            <w:r>
              <w:rPr>
                <w:rFonts w:hint="eastAsia"/>
                <w:szCs w:val="22"/>
              </w:rPr>
              <w:t>Q：6.3变更的策划、8.3删减确认</w:t>
            </w:r>
          </w:p>
          <w:p>
            <w:pPr>
              <w:spacing w:line="240" w:lineRule="auto"/>
              <w:rPr>
                <w:szCs w:val="22"/>
              </w:rPr>
            </w:pPr>
            <w:r>
              <w:rPr>
                <w:rFonts w:hint="eastAsia"/>
                <w:szCs w:val="22"/>
              </w:rPr>
              <w:t>O：5.4协商与参与</w:t>
            </w:r>
          </w:p>
          <w:p>
            <w:pPr>
              <w:spacing w:line="240" w:lineRule="auto"/>
              <w:rPr>
                <w:sz w:val="24"/>
                <w:szCs w:val="24"/>
              </w:rPr>
            </w:pPr>
            <w:r>
              <w:rPr>
                <w:rFonts w:hint="eastAsia"/>
                <w:szCs w:val="22"/>
              </w:rPr>
              <w:t>国家/地方监督抽查情况；顾客满意、相关方投诉及处理情况；上次审核不符合验证，验证企业相关资质证明的有效性，证书、标志的使用</w:t>
            </w:r>
          </w:p>
        </w:tc>
        <w:tc>
          <w:tcPr>
            <w:tcW w:w="96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60" w:type="dxa"/>
          </w:tcPr>
          <w:p>
            <w:r>
              <w:rPr>
                <w:rFonts w:hint="eastAsia" w:ascii="宋体" w:hAnsi="宋体" w:cs="Arial"/>
                <w:spacing w:val="-6"/>
                <w:szCs w:val="21"/>
              </w:rPr>
              <w:t>理解组织及其环境</w:t>
            </w:r>
          </w:p>
        </w:tc>
        <w:tc>
          <w:tcPr>
            <w:tcW w:w="1209" w:type="dxa"/>
          </w:tcPr>
          <w:p>
            <w:r>
              <w:rPr>
                <w:rFonts w:hint="eastAsia" w:ascii="宋体" w:hAnsi="宋体" w:cs="Arial"/>
                <w:spacing w:val="-6"/>
                <w:szCs w:val="21"/>
              </w:rPr>
              <w:t>QEO:4.1</w:t>
            </w:r>
          </w:p>
        </w:tc>
        <w:tc>
          <w:tcPr>
            <w:tcW w:w="10371" w:type="dxa"/>
          </w:tcPr>
          <w:p>
            <w:pPr>
              <w:spacing w:line="360" w:lineRule="auto"/>
              <w:ind w:firstLine="420" w:firstLineChars="200"/>
              <w:rPr>
                <w:szCs w:val="22"/>
              </w:rPr>
            </w:pPr>
            <w:r>
              <w:rPr>
                <w:szCs w:val="22"/>
              </w:rPr>
              <w:t>江西天仙精藏设备有限公司</w:t>
            </w:r>
            <w:r>
              <w:rPr>
                <w:rFonts w:hint="eastAsia"/>
                <w:szCs w:val="22"/>
              </w:rPr>
              <w:t>成立于2004年09月15日，注册资金8002万元；</w:t>
            </w:r>
          </w:p>
          <w:p>
            <w:pPr>
              <w:spacing w:line="360" w:lineRule="auto"/>
              <w:ind w:firstLine="420" w:firstLineChars="200"/>
              <w:rPr>
                <w:szCs w:val="22"/>
              </w:rPr>
            </w:pPr>
            <w:r>
              <w:rPr>
                <w:rFonts w:hint="eastAsia"/>
                <w:szCs w:val="22"/>
              </w:rPr>
              <w:t>注册地址：江西省樟树市城北工业园；</w:t>
            </w:r>
          </w:p>
          <w:p>
            <w:pPr>
              <w:spacing w:line="360" w:lineRule="auto"/>
              <w:ind w:firstLine="420" w:firstLineChars="200"/>
              <w:rPr>
                <w:rFonts w:hint="eastAsia" w:eastAsia="宋体"/>
                <w:szCs w:val="22"/>
                <w:lang w:eastAsia="zh-CN"/>
              </w:rPr>
            </w:pPr>
            <w:r>
              <w:rPr>
                <w:rFonts w:hint="eastAsia"/>
                <w:szCs w:val="22"/>
                <w:lang w:eastAsia="zh-CN"/>
              </w:rPr>
              <w:t>经营地址：</w:t>
            </w:r>
            <w:r>
              <w:rPr>
                <w:rFonts w:hint="eastAsia"/>
                <w:szCs w:val="22"/>
              </w:rPr>
              <w:t>江西省樟树市城北工业园；</w:t>
            </w:r>
          </w:p>
          <w:p>
            <w:pPr>
              <w:spacing w:line="360" w:lineRule="auto"/>
              <w:ind w:firstLine="420" w:firstLineChars="200"/>
              <w:rPr>
                <w:szCs w:val="22"/>
              </w:rPr>
            </w:pPr>
            <w:r>
              <w:rPr>
                <w:rFonts w:hint="eastAsia"/>
                <w:szCs w:val="22"/>
              </w:rPr>
              <w:t>营业执照经营范围：骨灰盒存放架、智能型骨灰盒存放架（移动）及其成套存放管理系统、骨灰盒存放架远程及现场祭拜管理系统、骨灰盒存放架大数据云管理平台、骨灰盒存放架人工智能存放系统、骨灰盒存放架区块链加密系统、智慧殡葬管理系统、智慧寺院管理系统、计算机软硬件、无电智能骨灰存放架、大理石存放架、福寿架、纳骨架、牌位（电子金属牌位）、佛像、佛龛、万佛墙、牌位架、工艺品、骨灰盒（盅）、太平柜、瞻仰台、解剖台、殡葬制冷设备、室内空气污染防治（法医解剖室、殡仪馆、骨灰存放厅、医学院实验及各类洁净室）工程的研发、设计、制造、销售、技术服务、施工安装、维修、售后服务；金属制品、不锈钢制品、殡葬用品生产、销售、技术服务、施工安装、维修、售后服务；室内装饰工程设计、施工及服务；殡仪车辆改装、销售；石材加工、销售；进出口经营权。（依法须经批准的项目，经相关部门批准后方可开展经营活动）。</w:t>
            </w:r>
          </w:p>
          <w:p>
            <w:pPr>
              <w:spacing w:line="360" w:lineRule="auto"/>
              <w:ind w:firstLine="420" w:firstLineChars="200"/>
              <w:rPr>
                <w:szCs w:val="22"/>
              </w:rPr>
            </w:pPr>
            <w:r>
              <w:rPr>
                <w:rFonts w:hint="eastAsia"/>
                <w:szCs w:val="22"/>
              </w:rPr>
              <w:t xml:space="preserve">统一社会信用代码： </w:t>
            </w:r>
            <w:r>
              <w:rPr>
                <w:szCs w:val="22"/>
              </w:rPr>
              <w:t>91360982767006168Y</w:t>
            </w:r>
          </w:p>
          <w:p>
            <w:pPr>
              <w:spacing w:line="360" w:lineRule="auto"/>
              <w:ind w:firstLine="420" w:firstLineChars="200"/>
              <w:rPr>
                <w:szCs w:val="22"/>
              </w:rPr>
            </w:pPr>
            <w:r>
              <w:rPr>
                <w:rFonts w:hint="eastAsia"/>
                <w:szCs w:val="22"/>
              </w:rPr>
              <w:t>经营范围覆盖了体系认证范围.</w:t>
            </w:r>
          </w:p>
          <w:p>
            <w:pPr>
              <w:spacing w:line="360" w:lineRule="auto"/>
              <w:ind w:firstLine="420" w:firstLineChars="200"/>
              <w:rPr>
                <w:szCs w:val="22"/>
              </w:rPr>
            </w:pPr>
            <w:r>
              <w:rPr>
                <w:rFonts w:hint="eastAsia"/>
                <w:szCs w:val="22"/>
              </w:rPr>
              <w:t>组织机构：办公室、业务部、生产部、质检部、采购部</w:t>
            </w:r>
          </w:p>
          <w:p>
            <w:pPr>
              <w:spacing w:line="360" w:lineRule="auto"/>
              <w:ind w:firstLine="420" w:firstLineChars="200"/>
              <w:rPr>
                <w:szCs w:val="22"/>
              </w:rPr>
            </w:pPr>
            <w:r>
              <w:rPr>
                <w:rFonts w:hint="eastAsia"/>
                <w:szCs w:val="22"/>
              </w:rPr>
              <w:t>公司在职人员共45人，建立有员工花名册；</w:t>
            </w:r>
          </w:p>
          <w:p>
            <w:pPr>
              <w:spacing w:line="360" w:lineRule="auto"/>
              <w:ind w:firstLine="420" w:firstLineChars="200"/>
              <w:rPr>
                <w:szCs w:val="22"/>
              </w:rPr>
            </w:pPr>
            <w:r>
              <w:rPr>
                <w:rFonts w:hint="eastAsia"/>
                <w:szCs w:val="22"/>
                <w:lang w:eastAsia="zh-CN"/>
              </w:rPr>
              <w:t>主要生产设备：</w:t>
            </w:r>
            <w:r>
              <w:rPr>
                <w:rFonts w:hint="eastAsia"/>
                <w:szCs w:val="22"/>
              </w:rPr>
              <w:t>剪板机、压力机、折弯机、空气压缩机、铝合金切割机、电焊机、全自动喷涂流水线、烤箱、行车等；</w:t>
            </w:r>
          </w:p>
          <w:p>
            <w:pPr>
              <w:spacing w:line="360" w:lineRule="auto"/>
              <w:ind w:firstLine="420" w:firstLineChars="200"/>
              <w:rPr>
                <w:szCs w:val="22"/>
              </w:rPr>
            </w:pPr>
            <w:r>
              <w:rPr>
                <w:rFonts w:hint="eastAsia"/>
                <w:szCs w:val="22"/>
              </w:rPr>
              <w:t>计量器具有</w:t>
            </w:r>
            <w:r>
              <w:rPr>
                <w:rFonts w:hint="eastAsia"/>
                <w:szCs w:val="22"/>
                <w:lang w:eastAsia="zh-CN"/>
              </w:rPr>
              <w:t>：</w:t>
            </w:r>
            <w:r>
              <w:rPr>
                <w:rFonts w:hint="eastAsia"/>
                <w:szCs w:val="22"/>
              </w:rPr>
              <w:t>游标卡尺、钢卷尺等；</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Cs w:val="22"/>
                <w:lang w:val="en-US" w:eastAsia="zh-CN"/>
              </w:rPr>
            </w:pPr>
            <w:r>
              <w:rPr>
                <w:rFonts w:hint="eastAsia"/>
                <w:szCs w:val="22"/>
              </w:rPr>
              <w:t>环保设施有：</w:t>
            </w:r>
            <w:r>
              <w:rPr>
                <w:rFonts w:hint="eastAsia" w:cs="Times New Roman"/>
                <w:szCs w:val="22"/>
                <w:lang w:val="en-US" w:eastAsia="zh-CN"/>
              </w:rPr>
              <w:t>环保设备：除尘装置、污水处理装置、消防设备设施等；</w:t>
            </w:r>
          </w:p>
          <w:p>
            <w:pPr>
              <w:spacing w:line="360" w:lineRule="auto"/>
              <w:ind w:firstLine="420" w:firstLineChars="200"/>
              <w:rPr>
                <w:szCs w:val="22"/>
              </w:rPr>
            </w:pPr>
            <w:r>
              <w:rPr>
                <w:rFonts w:hint="eastAsia"/>
                <w:szCs w:val="22"/>
              </w:rPr>
              <w:t>总经理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pPr>
              <w:spacing w:line="360" w:lineRule="auto"/>
              <w:ind w:firstLine="420" w:firstLineChars="200"/>
              <w:rPr>
                <w:szCs w:val="22"/>
              </w:rPr>
            </w:pPr>
            <w:r>
              <w:rPr>
                <w:rFonts w:hint="eastAsia"/>
                <w:szCs w:val="22"/>
              </w:rPr>
              <w:t>外部因素有-经济景气系数影响，信息化和智能化成为趋势；殡葬（存放架等）</w:t>
            </w:r>
            <w:r>
              <w:rPr>
                <w:szCs w:val="22"/>
              </w:rPr>
              <w:t>行业持续新建发展带来的机遇，安全环保的法规和政府对生产加工业的环保性、安全性和质量提出了越来越高的要求，行业有着非常大的提升空间，并取得迅速的发展</w:t>
            </w:r>
          </w:p>
          <w:p>
            <w:pPr>
              <w:spacing w:line="360" w:lineRule="auto"/>
              <w:ind w:firstLine="420" w:firstLineChars="200"/>
              <w:rPr>
                <w:szCs w:val="22"/>
              </w:rPr>
            </w:pPr>
            <w:r>
              <w:rPr>
                <w:rFonts w:hint="eastAsia"/>
                <w:szCs w:val="22"/>
              </w:rPr>
              <w:t>内部因素有-公司持续建立和运行管理体系，有良好的管理基础；人员较为稳定，</w:t>
            </w:r>
            <w:r>
              <w:rPr>
                <w:szCs w:val="22"/>
              </w:rPr>
              <w:t>公司的人员均为有多年生产实践经验和质检及相关岗位管理工作经验</w:t>
            </w:r>
            <w:r>
              <w:rPr>
                <w:rFonts w:hint="eastAsia"/>
                <w:szCs w:val="22"/>
              </w:rPr>
              <w:t>；</w:t>
            </w:r>
            <w:r>
              <w:rPr>
                <w:szCs w:val="22"/>
              </w:rPr>
              <w:t>生产技术人员全部经过技能/合规性培训，业务熟练，质量意识</w:t>
            </w:r>
            <w:r>
              <w:rPr>
                <w:rFonts w:hint="eastAsia"/>
                <w:szCs w:val="22"/>
              </w:rPr>
              <w:t>、</w:t>
            </w:r>
            <w:r>
              <w:rPr>
                <w:szCs w:val="22"/>
              </w:rPr>
              <w:t>环境保护意识</w:t>
            </w:r>
            <w:r>
              <w:rPr>
                <w:rFonts w:hint="eastAsia"/>
                <w:szCs w:val="22"/>
              </w:rPr>
              <w:t>、职业健康安全意识</w:t>
            </w:r>
            <w:r>
              <w:rPr>
                <w:szCs w:val="22"/>
              </w:rPr>
              <w:t>较强。</w:t>
            </w:r>
          </w:p>
          <w:p>
            <w:pPr>
              <w:spacing w:line="360" w:lineRule="auto"/>
              <w:ind w:firstLine="420" w:firstLineChars="200"/>
              <w:rPr>
                <w:szCs w:val="22"/>
              </w:rPr>
            </w:pPr>
            <w:r>
              <w:rPr>
                <w:rFonts w:hint="eastAsia"/>
                <w:szCs w:val="22"/>
              </w:rPr>
              <w:t>这些因素包括了需要考虑的正面和负面因素或条件。</w:t>
            </w:r>
          </w:p>
          <w:p>
            <w:pPr>
              <w:spacing w:line="360" w:lineRule="auto"/>
              <w:ind w:firstLine="420" w:firstLineChars="200"/>
              <w:rPr>
                <w:rFonts w:ascii="宋体" w:hAnsi="宋体" w:cs="Arial"/>
                <w:spacing w:val="-6"/>
                <w:szCs w:val="21"/>
              </w:rPr>
            </w:pPr>
            <w:r>
              <w:rPr>
                <w:rFonts w:hint="eastAsia"/>
                <w:szCs w:val="22"/>
              </w:rPr>
              <w:t>公司每年根据由公司销售人员从市场、客户、网络等搜集到的信息并结合公司自身业务运作情况进行分析，通过分析对这些内部和外部因素的相关信息进行监视和评审以确保其充分和适宜。</w:t>
            </w:r>
          </w:p>
        </w:tc>
        <w:tc>
          <w:tcPr>
            <w:tcW w:w="96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宋体" w:hAnsi="宋体" w:eastAsia="宋体" w:cs="Arial"/>
                <w:spacing w:val="-6"/>
                <w:szCs w:val="21"/>
              </w:rPr>
              <w:t>理解相关方的需求和期望</w:t>
            </w:r>
          </w:p>
        </w:tc>
        <w:tc>
          <w:tcPr>
            <w:tcW w:w="1209" w:type="dxa"/>
          </w:tcPr>
          <w:p>
            <w:r>
              <w:rPr>
                <w:rFonts w:hint="eastAsia" w:ascii="宋体" w:hAnsi="宋体" w:cs="Arial"/>
                <w:spacing w:val="-6"/>
                <w:szCs w:val="21"/>
              </w:rPr>
              <w:t>QEO:4.2</w:t>
            </w:r>
          </w:p>
        </w:tc>
        <w:tc>
          <w:tcPr>
            <w:tcW w:w="10371" w:type="dxa"/>
          </w:tcPr>
          <w:p>
            <w:pPr>
              <w:spacing w:line="360" w:lineRule="auto"/>
              <w:ind w:firstLine="420" w:firstLineChars="200"/>
              <w:rPr>
                <w:szCs w:val="22"/>
              </w:rPr>
            </w:pPr>
            <w:r>
              <w:rPr>
                <w:rFonts w:hint="eastAsia"/>
                <w:szCs w:val="22"/>
              </w:rPr>
              <w:t>组织的相关方主要包括顾客、员工、竞争对手、供方、股东、公司周边居民等。相关方主要期望：价格、待遇、公平性、安全性、合同协议、行业规范标准等。识别方法：调查问卷、自我评审、水平对比等。</w:t>
            </w:r>
          </w:p>
          <w:p>
            <w:pPr>
              <w:spacing w:line="360" w:lineRule="auto"/>
              <w:ind w:firstLine="420" w:firstLineChars="200"/>
              <w:rPr>
                <w:szCs w:val="22"/>
              </w:rPr>
            </w:pPr>
            <w:r>
              <w:rPr>
                <w:szCs w:val="22"/>
              </w:rPr>
              <w:t>相关方对企业的要求有：遵守国家的现行法律法规、保持有效的资质、生产的产品节能环保，对环境无重大污染、无安全隐患、不断提高技术水平以及不断提高客户满意度等。</w:t>
            </w:r>
          </w:p>
          <w:p>
            <w:pPr>
              <w:spacing w:line="360" w:lineRule="auto"/>
              <w:ind w:firstLine="420" w:firstLineChars="200"/>
              <w:rPr>
                <w:szCs w:val="22"/>
              </w:rPr>
            </w:pPr>
            <w:r>
              <w:rPr>
                <w:szCs w:val="22"/>
              </w:rPr>
              <w:t>对这些相关方监事和评审的方法有：上级文件、标准和规范的获取、设备器具检定、沟通等。</w:t>
            </w:r>
          </w:p>
        </w:tc>
        <w:tc>
          <w:tcPr>
            <w:tcW w:w="96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160" w:type="dxa"/>
          </w:tcPr>
          <w:p>
            <w:pPr>
              <w:adjustRightInd w:val="0"/>
              <w:snapToGrid w:val="0"/>
              <w:spacing w:line="240" w:lineRule="auto"/>
              <w:ind w:right="105" w:rightChars="50"/>
              <w:textAlignment w:val="baseline"/>
              <w:rPr>
                <w:rFonts w:hint="eastAsia" w:ascii="宋体" w:hAnsi="宋体" w:eastAsia="宋体" w:cs="Arial"/>
                <w:spacing w:val="-6"/>
                <w:szCs w:val="21"/>
              </w:rPr>
            </w:pPr>
            <w:r>
              <w:rPr>
                <w:rFonts w:hint="eastAsia" w:ascii="宋体" w:hAnsi="宋体" w:eastAsia="宋体" w:cs="Arial"/>
                <w:spacing w:val="-6"/>
                <w:szCs w:val="21"/>
              </w:rPr>
              <w:t>应对风险和机遇的措施</w:t>
            </w:r>
          </w:p>
          <w:p>
            <w:pPr>
              <w:adjustRightInd w:val="0"/>
              <w:snapToGrid w:val="0"/>
              <w:spacing w:line="240" w:lineRule="auto"/>
              <w:ind w:right="105" w:rightChars="50"/>
              <w:textAlignment w:val="baseline"/>
              <w:rPr>
                <w:rFonts w:hint="eastAsia" w:ascii="宋体" w:hAnsi="宋体" w:eastAsia="宋体" w:cs="Arial"/>
                <w:spacing w:val="-6"/>
                <w:szCs w:val="21"/>
              </w:rPr>
            </w:pPr>
            <w:r>
              <w:rPr>
                <w:rFonts w:hint="eastAsia" w:ascii="宋体" w:hAnsi="宋体" w:eastAsia="宋体" w:cs="Arial"/>
                <w:spacing w:val="-6"/>
                <w:szCs w:val="21"/>
              </w:rPr>
              <w:t>确定管理体系的范围</w:t>
            </w:r>
          </w:p>
          <w:p>
            <w:pPr>
              <w:adjustRightInd w:val="0"/>
              <w:snapToGrid w:val="0"/>
              <w:spacing w:line="240" w:lineRule="auto"/>
              <w:ind w:right="105" w:rightChars="50"/>
              <w:textAlignment w:val="baseline"/>
              <w:rPr>
                <w:rFonts w:hint="eastAsia" w:ascii="宋体" w:hAnsi="宋体" w:eastAsia="宋体" w:cs="Arial"/>
                <w:spacing w:val="-6"/>
                <w:szCs w:val="21"/>
              </w:rPr>
            </w:pPr>
            <w:r>
              <w:rPr>
                <w:rFonts w:hint="eastAsia" w:ascii="宋体" w:hAnsi="宋体" w:eastAsia="宋体" w:cs="Arial"/>
                <w:spacing w:val="-6"/>
                <w:szCs w:val="21"/>
              </w:rPr>
              <w:t>质量/环境管理体系及其过程</w:t>
            </w:r>
          </w:p>
          <w:p>
            <w:pPr>
              <w:adjustRightInd w:val="0"/>
              <w:snapToGrid w:val="0"/>
              <w:spacing w:line="240" w:lineRule="auto"/>
              <w:ind w:right="105" w:rightChars="50"/>
              <w:textAlignment w:val="baseline"/>
              <w:rPr>
                <w:rFonts w:hint="eastAsia" w:ascii="宋体" w:hAnsi="宋体" w:eastAsia="宋体" w:cs="Arial"/>
                <w:spacing w:val="-6"/>
                <w:szCs w:val="21"/>
              </w:rPr>
            </w:pPr>
            <w:r>
              <w:rPr>
                <w:rFonts w:hint="eastAsia" w:ascii="宋体" w:hAnsi="宋体" w:eastAsia="宋体" w:cs="Arial"/>
                <w:spacing w:val="-6"/>
                <w:szCs w:val="21"/>
              </w:rPr>
              <w:t>8.3删减合理性</w:t>
            </w:r>
          </w:p>
          <w:p>
            <w:pPr>
              <w:adjustRightInd w:val="0"/>
              <w:snapToGrid w:val="0"/>
              <w:spacing w:line="240" w:lineRule="auto"/>
              <w:ind w:right="105" w:rightChars="50"/>
              <w:textAlignment w:val="baseline"/>
            </w:pPr>
            <w:r>
              <w:rPr>
                <w:rFonts w:hint="eastAsia" w:ascii="宋体" w:hAnsi="宋体" w:eastAsia="宋体" w:cs="Arial"/>
                <w:spacing w:val="-6"/>
                <w:szCs w:val="21"/>
              </w:rPr>
              <w:t>变更的策划</w:t>
            </w:r>
          </w:p>
        </w:tc>
        <w:tc>
          <w:tcPr>
            <w:tcW w:w="1209" w:type="dxa"/>
          </w:tcPr>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QEO:6.1</w:t>
            </w:r>
          </w:p>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QEO:4.3</w:t>
            </w:r>
          </w:p>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QEO:4.4</w:t>
            </w:r>
          </w:p>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Q:8.3</w:t>
            </w:r>
          </w:p>
          <w:p>
            <w:r>
              <w:rPr>
                <w:rFonts w:hint="eastAsia" w:ascii="宋体" w:hAnsi="宋体" w:cs="Arial"/>
                <w:spacing w:val="-6"/>
                <w:szCs w:val="21"/>
              </w:rPr>
              <w:t>Q:6.3</w:t>
            </w:r>
          </w:p>
        </w:tc>
        <w:tc>
          <w:tcPr>
            <w:tcW w:w="10371" w:type="dxa"/>
          </w:tcPr>
          <w:p>
            <w:pPr>
              <w:spacing w:line="360" w:lineRule="auto"/>
              <w:ind w:firstLine="420" w:firstLineChars="200"/>
              <w:rPr>
                <w:szCs w:val="22"/>
              </w:rPr>
            </w:pPr>
            <w:r>
              <w:rPr>
                <w:rFonts w:hint="eastAsia"/>
                <w:szCs w:val="22"/>
              </w:rPr>
              <w:t>基于对4.1和4.2的考虑，分析了公司存在的风险和机遇：</w:t>
            </w:r>
          </w:p>
          <w:p>
            <w:pPr>
              <w:spacing w:line="360" w:lineRule="auto"/>
              <w:ind w:firstLine="420" w:firstLineChars="200"/>
              <w:rPr>
                <w:szCs w:val="22"/>
              </w:rPr>
            </w:pPr>
            <w:r>
              <w:rPr>
                <w:rFonts w:hint="eastAsia"/>
                <w:szCs w:val="22"/>
              </w:rPr>
              <w:t>机遇：</w:t>
            </w:r>
            <w:r>
              <w:rPr>
                <w:rFonts w:ascii="宋体" w:hAnsi="宋体" w:cs="Arial"/>
                <w:spacing w:val="-6"/>
                <w:szCs w:val="21"/>
              </w:rPr>
              <w:t>行业市场的规模化，市场需求量很大</w:t>
            </w:r>
            <w:r>
              <w:rPr>
                <w:rFonts w:hint="eastAsia" w:ascii="宋体" w:hAnsi="宋体" w:cs="Arial"/>
                <w:spacing w:val="-6"/>
                <w:szCs w:val="21"/>
              </w:rPr>
              <w:t>，</w:t>
            </w:r>
            <w:r>
              <w:rPr>
                <w:rFonts w:ascii="宋体" w:hAnsi="宋体" w:cs="Arial"/>
                <w:spacing w:val="-6"/>
                <w:szCs w:val="21"/>
              </w:rPr>
              <w:t>销售市场巨大，目前市场经济对企业有较好的推动作用</w:t>
            </w:r>
            <w:r>
              <w:rPr>
                <w:rFonts w:hint="eastAsia"/>
                <w:szCs w:val="22"/>
              </w:rPr>
              <w:t>。</w:t>
            </w:r>
          </w:p>
          <w:p>
            <w:pPr>
              <w:spacing w:line="360" w:lineRule="auto"/>
              <w:ind w:firstLine="420" w:firstLineChars="200"/>
              <w:rPr>
                <w:szCs w:val="22"/>
              </w:rPr>
            </w:pPr>
            <w:r>
              <w:rPr>
                <w:rFonts w:hint="eastAsia"/>
                <w:szCs w:val="22"/>
              </w:rPr>
              <w:t>风险：</w:t>
            </w:r>
            <w:r>
              <w:rPr>
                <w:rFonts w:ascii="宋体" w:hAnsi="宋体" w:cs="Arial"/>
                <w:spacing w:val="-6"/>
                <w:szCs w:val="21"/>
              </w:rPr>
              <w:t>同类产品竞争逐渐加剧</w:t>
            </w:r>
            <w:r>
              <w:rPr>
                <w:rFonts w:hint="eastAsia"/>
                <w:szCs w:val="22"/>
              </w:rPr>
              <w:t>。</w:t>
            </w:r>
          </w:p>
          <w:p>
            <w:pPr>
              <w:spacing w:line="360" w:lineRule="auto"/>
              <w:ind w:firstLine="420" w:firstLineChars="200"/>
              <w:rPr>
                <w:szCs w:val="22"/>
              </w:rPr>
            </w:pPr>
            <w:r>
              <w:rPr>
                <w:rFonts w:hint="eastAsia"/>
                <w:szCs w:val="22"/>
              </w:rPr>
              <w:t>公司高层对公司内外部风险和机遇进行了分析；策划了风险和机遇应对措施。</w:t>
            </w:r>
          </w:p>
          <w:p>
            <w:pPr>
              <w:spacing w:line="360" w:lineRule="auto"/>
              <w:ind w:firstLine="420" w:firstLineChars="200"/>
              <w:rPr>
                <w:szCs w:val="22"/>
              </w:rPr>
            </w:pPr>
            <w:r>
              <w:rPr>
                <w:rFonts w:hint="eastAsia"/>
                <w:szCs w:val="22"/>
              </w:rPr>
              <w:t>编制有《风险和机遇的应对控制程序》，对组织内外的风险和机遇进行了策划。</w:t>
            </w:r>
          </w:p>
          <w:p>
            <w:pPr>
              <w:spacing w:line="360" w:lineRule="auto"/>
              <w:ind w:firstLine="420" w:firstLineChars="200"/>
              <w:rPr>
                <w:szCs w:val="22"/>
              </w:rPr>
            </w:pPr>
            <w:r>
              <w:rPr>
                <w:rFonts w:hint="eastAsia"/>
                <w:szCs w:val="22"/>
              </w:rPr>
              <w:t>公司策划了业务流程：</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生产过程：</w:t>
            </w:r>
          </w:p>
          <w:p>
            <w:pPr>
              <w:spacing w:line="360" w:lineRule="auto"/>
              <w:ind w:firstLine="420" w:firstLineChars="200"/>
              <w:rPr>
                <w:rFonts w:hint="eastAsia"/>
                <w:szCs w:val="22"/>
              </w:rPr>
            </w:pPr>
            <w:r>
              <w:rPr>
                <w:rFonts w:hint="eastAsia" w:ascii="Times New Roman" w:hAnsi="Times New Roman" w:eastAsia="宋体" w:cs="Times New Roman"/>
                <w:szCs w:val="22"/>
                <w:lang w:val="en-US" w:eastAsia="zh-CN"/>
              </w:rPr>
              <w:t>下料－冲压－折弯－焊接－喷涂－装配－成品检验－包装－入库</w:t>
            </w:r>
          </w:p>
          <w:p>
            <w:pPr>
              <w:spacing w:line="360" w:lineRule="auto"/>
              <w:ind w:firstLine="420" w:firstLineChars="200"/>
              <w:rPr>
                <w:szCs w:val="22"/>
              </w:rPr>
            </w:pPr>
            <w:r>
              <w:rPr>
                <w:rFonts w:hint="eastAsia"/>
                <w:szCs w:val="22"/>
              </w:rPr>
              <w:t>销售：</w:t>
            </w:r>
          </w:p>
          <w:p>
            <w:pPr>
              <w:spacing w:line="360" w:lineRule="auto"/>
              <w:ind w:firstLine="420" w:firstLineChars="200"/>
              <w:rPr>
                <w:szCs w:val="22"/>
              </w:rPr>
            </w:pPr>
            <w:r>
              <w:rPr>
                <w:rFonts w:hint="eastAsia"/>
                <w:szCs w:val="22"/>
              </w:rPr>
              <w:t>产品要求信息获取——产品要求评审——签订合同——采购——质检——销售</w:t>
            </w:r>
          </w:p>
          <w:p>
            <w:pPr>
              <w:spacing w:line="360" w:lineRule="auto"/>
              <w:ind w:firstLine="420" w:firstLineChars="200"/>
              <w:rPr>
                <w:rFonts w:hint="eastAsia"/>
                <w:szCs w:val="22"/>
              </w:rPr>
            </w:pPr>
            <w:r>
              <w:rPr>
                <w:rFonts w:hint="eastAsia"/>
                <w:szCs w:val="22"/>
              </w:rPr>
              <w:t>维修流程：</w:t>
            </w:r>
          </w:p>
          <w:p>
            <w:pPr>
              <w:spacing w:line="360" w:lineRule="auto"/>
              <w:ind w:firstLine="420" w:firstLineChars="200"/>
              <w:rPr>
                <w:rFonts w:hint="eastAsia"/>
                <w:szCs w:val="22"/>
              </w:rPr>
            </w:pPr>
            <w:r>
              <w:rPr>
                <w:rFonts w:hint="eastAsia"/>
                <w:szCs w:val="22"/>
              </w:rPr>
              <w:t>确认退货方式及日期→接收退货产品→对退机检验及维修处理→交付→确认退货原因及纠正预防</w:t>
            </w:r>
          </w:p>
          <w:p>
            <w:pPr>
              <w:spacing w:line="360" w:lineRule="auto"/>
              <w:ind w:firstLine="420" w:firstLineChars="200"/>
              <w:rPr>
                <w:szCs w:val="22"/>
              </w:rPr>
            </w:pPr>
            <w:r>
              <w:rPr>
                <w:rFonts w:hint="eastAsia"/>
                <w:szCs w:val="22"/>
              </w:rPr>
              <w:t>基于业务流程，公司分析了重要环境因素和不可接受风险，并策划了控制措施：</w:t>
            </w:r>
          </w:p>
          <w:p>
            <w:pPr>
              <w:spacing w:line="360" w:lineRule="auto"/>
              <w:ind w:firstLine="420" w:firstLineChars="200"/>
              <w:rPr>
                <w:szCs w:val="22"/>
              </w:rPr>
            </w:pPr>
            <w:r>
              <w:rPr>
                <w:rFonts w:hint="eastAsia"/>
                <w:szCs w:val="22"/>
              </w:rPr>
              <w:t>重要环境因素：</w:t>
            </w:r>
            <w:r>
              <w:rPr>
                <w:rFonts w:hint="eastAsia" w:hAnsi="宋体"/>
                <w:szCs w:val="21"/>
              </w:rPr>
              <w:t>噪声排放、潜在火灾、固体废弃物排放、废气/粉尘排放、废水排放；</w:t>
            </w:r>
          </w:p>
          <w:p>
            <w:pPr>
              <w:spacing w:line="360" w:lineRule="auto"/>
              <w:ind w:firstLine="420" w:firstLineChars="200"/>
              <w:rPr>
                <w:szCs w:val="22"/>
              </w:rPr>
            </w:pPr>
            <w:r>
              <w:rPr>
                <w:rFonts w:hint="eastAsia"/>
                <w:szCs w:val="22"/>
              </w:rPr>
              <w:t>通用措施——</w:t>
            </w:r>
          </w:p>
          <w:p>
            <w:pPr>
              <w:spacing w:line="360" w:lineRule="auto"/>
              <w:ind w:firstLine="420" w:firstLineChars="200"/>
              <w:rPr>
                <w:szCs w:val="22"/>
              </w:rPr>
            </w:pPr>
            <w:r>
              <w:rPr>
                <w:rFonts w:hint="eastAsia"/>
                <w:szCs w:val="22"/>
              </w:rPr>
              <w:t>制定目标、指标，编制运行控制文件，运行控制；一旦发生按相关应急预案执行。</w:t>
            </w:r>
          </w:p>
          <w:p>
            <w:pPr>
              <w:spacing w:line="360" w:lineRule="auto"/>
              <w:ind w:firstLine="420" w:firstLineChars="200"/>
              <w:rPr>
                <w:szCs w:val="22"/>
              </w:rPr>
            </w:pPr>
            <w:r>
              <w:rPr>
                <w:rFonts w:hint="eastAsia"/>
                <w:szCs w:val="22"/>
              </w:rPr>
              <w:t>固（危）废——</w:t>
            </w:r>
          </w:p>
          <w:p>
            <w:pPr>
              <w:spacing w:line="360" w:lineRule="auto"/>
              <w:ind w:firstLine="420" w:firstLineChars="200"/>
              <w:rPr>
                <w:szCs w:val="22"/>
              </w:rPr>
            </w:pPr>
            <w:r>
              <w:rPr>
                <w:rFonts w:hint="eastAsia"/>
                <w:szCs w:val="22"/>
              </w:rPr>
              <w:t>一般固废集中收集外售；（办公）危废以旧换新由供应商带回；</w:t>
            </w:r>
          </w:p>
          <w:p>
            <w:pPr>
              <w:spacing w:line="360" w:lineRule="auto"/>
              <w:ind w:firstLine="420" w:firstLineChars="200"/>
              <w:rPr>
                <w:szCs w:val="22"/>
              </w:rPr>
            </w:pPr>
            <w:r>
              <w:rPr>
                <w:rFonts w:hint="eastAsia"/>
                <w:szCs w:val="22"/>
              </w:rPr>
              <w:t>潜在火灾——</w:t>
            </w:r>
          </w:p>
          <w:p>
            <w:pPr>
              <w:spacing w:line="360" w:lineRule="auto"/>
              <w:ind w:firstLine="420" w:firstLineChars="200"/>
              <w:rPr>
                <w:szCs w:val="22"/>
              </w:rPr>
            </w:pPr>
            <w:r>
              <w:rPr>
                <w:rFonts w:hint="eastAsia"/>
                <w:szCs w:val="22"/>
              </w:rPr>
              <w:t>定期检查用电安全，电工持证上岗；配置消防器材、做好火灾预防措施；</w:t>
            </w:r>
          </w:p>
          <w:p>
            <w:pPr>
              <w:spacing w:line="360" w:lineRule="auto"/>
              <w:ind w:firstLine="420" w:firstLineChars="200"/>
              <w:rPr>
                <w:szCs w:val="22"/>
              </w:rPr>
            </w:pPr>
            <w:r>
              <w:rPr>
                <w:rFonts w:hint="eastAsia"/>
                <w:szCs w:val="22"/>
              </w:rPr>
              <w:t>不可接受风险有：触电、火灾、听力损伤、机械伤害、人身伤害、吸入性伤害等；</w:t>
            </w:r>
          </w:p>
          <w:p>
            <w:pPr>
              <w:spacing w:line="360" w:lineRule="auto"/>
              <w:ind w:firstLine="420" w:firstLineChars="200"/>
              <w:rPr>
                <w:szCs w:val="22"/>
              </w:rPr>
            </w:pPr>
            <w:r>
              <w:rPr>
                <w:rFonts w:hint="eastAsia"/>
                <w:szCs w:val="22"/>
              </w:rPr>
              <w:t>通用控制措施——</w:t>
            </w:r>
          </w:p>
          <w:p>
            <w:pPr>
              <w:spacing w:line="360" w:lineRule="auto"/>
              <w:ind w:firstLine="420" w:firstLineChars="200"/>
              <w:rPr>
                <w:szCs w:val="22"/>
              </w:rPr>
            </w:pPr>
            <w:r>
              <w:rPr>
                <w:rFonts w:hint="eastAsia"/>
                <w:szCs w:val="22"/>
              </w:rPr>
              <w:t>制定目标、指标，编制运行控制文件，运行控制；设置警示标志标识；</w:t>
            </w:r>
          </w:p>
          <w:p>
            <w:pPr>
              <w:spacing w:line="360" w:lineRule="auto"/>
              <w:ind w:firstLine="420" w:firstLineChars="200"/>
              <w:rPr>
                <w:szCs w:val="22"/>
              </w:rPr>
            </w:pPr>
            <w:r>
              <w:rPr>
                <w:rFonts w:hint="eastAsia"/>
                <w:szCs w:val="22"/>
              </w:rPr>
              <w:t>火灾，触电——</w:t>
            </w:r>
          </w:p>
          <w:p>
            <w:pPr>
              <w:spacing w:line="360" w:lineRule="auto"/>
              <w:ind w:firstLine="420" w:firstLineChars="200"/>
              <w:rPr>
                <w:szCs w:val="22"/>
              </w:rPr>
            </w:pPr>
            <w:r>
              <w:rPr>
                <w:rFonts w:hint="eastAsia"/>
                <w:szCs w:val="22"/>
              </w:rPr>
              <w:t>设备、电路定期检修、检查，人员持证上岗；配置消防器材、做好火灾预防措施。</w:t>
            </w:r>
          </w:p>
          <w:p>
            <w:pPr>
              <w:spacing w:line="360" w:lineRule="auto"/>
              <w:ind w:firstLine="420" w:firstLineChars="200"/>
              <w:rPr>
                <w:szCs w:val="22"/>
              </w:rPr>
            </w:pPr>
            <w:r>
              <w:rPr>
                <w:rFonts w:hint="eastAsia"/>
                <w:szCs w:val="22"/>
              </w:rPr>
              <w:t>为应对上述风险和机遇，公司依据GB/T19001-2016、GB/T24001-2016、GB/T45001-2020标准的要求并结合公司的具体情况，采取PDCA的过程方法，建立、实施、保持并持续改进质量、环境、职业健康安全管理体系。</w:t>
            </w:r>
          </w:p>
          <w:p>
            <w:pPr>
              <w:spacing w:line="360" w:lineRule="auto"/>
              <w:ind w:firstLine="420" w:firstLineChars="200"/>
              <w:rPr>
                <w:szCs w:val="22"/>
              </w:rPr>
            </w:pPr>
            <w:r>
              <w:rPr>
                <w:rFonts w:hint="eastAsia"/>
                <w:szCs w:val="22"/>
              </w:rPr>
              <w:t>管理手册——B/0，实施日期：2020年07月05日；</w:t>
            </w:r>
          </w:p>
          <w:p>
            <w:pPr>
              <w:spacing w:line="360" w:lineRule="auto"/>
              <w:ind w:firstLine="420" w:firstLineChars="200"/>
              <w:rPr>
                <w:szCs w:val="22"/>
              </w:rPr>
            </w:pPr>
            <w:r>
              <w:rPr>
                <w:rFonts w:hint="eastAsia"/>
                <w:szCs w:val="22"/>
              </w:rPr>
              <w:t>程序文件——B/0，实施日期：2020年07月05日；</w:t>
            </w:r>
          </w:p>
          <w:p>
            <w:pPr>
              <w:spacing w:line="360" w:lineRule="auto"/>
              <w:ind w:firstLine="420" w:firstLineChars="200"/>
              <w:rPr>
                <w:szCs w:val="22"/>
              </w:rPr>
            </w:pPr>
            <w:r>
              <w:rPr>
                <w:rFonts w:hint="eastAsia"/>
                <w:szCs w:val="22"/>
              </w:rPr>
              <w:t>包括：风险和机遇的应对控制程序、顾客满意度控制程序、采购控制程序、销售和服务管理控制程序、环境因素和危险源识别评价与控制程序、环境和职业健康安全法律法规控制程序、应急准备和响应控制程序、监视和测量控制程序、不符合/纠正和预防措施控制程序等26个；</w:t>
            </w:r>
          </w:p>
          <w:p>
            <w:pPr>
              <w:spacing w:line="360" w:lineRule="auto"/>
              <w:ind w:firstLine="420" w:firstLineChars="200"/>
              <w:rPr>
                <w:rFonts w:hint="eastAsia" w:ascii="Times New Roman" w:hAnsi="Times New Roman" w:eastAsia="宋体" w:cs="Times New Roman"/>
                <w:szCs w:val="22"/>
              </w:rPr>
            </w:pPr>
            <w:r>
              <w:rPr>
                <w:rFonts w:hint="eastAsia"/>
                <w:szCs w:val="22"/>
              </w:rPr>
              <w:t>建立有外来文件清单，收集相关标准和法律法规：中华人民共和国产品质量法、中华人民共和国安全生产法、中华人民共和国环境保护法、中华人民共和国消防法、建立环境</w:t>
            </w:r>
            <w:r>
              <w:rPr>
                <w:rFonts w:hint="eastAsia" w:ascii="Times New Roman" w:hAnsi="Times New Roman" w:eastAsia="宋体" w:cs="Times New Roman"/>
                <w:szCs w:val="22"/>
              </w:rPr>
              <w:t>、职业健康安全法律法规和金属家具通用技术条件、《系统与软件工程 系统与软件质量要求和评价（SQuaRE）第51部分：就绪可用软件产品（RUSP）的质量要求和测试细则》和其他要求清单。</w:t>
            </w:r>
          </w:p>
          <w:p>
            <w:pPr>
              <w:spacing w:line="360" w:lineRule="auto"/>
              <w:ind w:firstLine="420" w:firstLineChars="200"/>
              <w:rPr>
                <w:szCs w:val="22"/>
              </w:rPr>
            </w:pPr>
            <w:r>
              <w:rPr>
                <w:rFonts w:hint="eastAsia"/>
                <w:szCs w:val="22"/>
              </w:rPr>
              <w:t>管理手册中确定的认证范围：</w:t>
            </w:r>
          </w:p>
          <w:p>
            <w:pPr>
              <w:spacing w:line="360" w:lineRule="auto"/>
              <w:ind w:firstLine="420" w:firstLineChars="200"/>
              <w:rPr>
                <w:szCs w:val="22"/>
              </w:rPr>
            </w:pPr>
            <w:r>
              <w:rPr>
                <w:rFonts w:hint="eastAsia"/>
                <w:szCs w:val="22"/>
              </w:rPr>
              <w:t>Q：骨灰盒存放架、智能型骨灰盒存放架、无电智能骨灰存放架、福寿架、牌位架的生产、销售、售后服务；太平柜、瞻仰台、解剖台、骨灰盒存放架远程及现场祭拜管理系统、骨灰盒存放架大数据云管理平台、骨灰盒存放架AI人工智能存放系统、骨灰盒存放架区块链加密系统、智慧殡葬管理系统、智慧寺院管理系统、计算机软硬件的销售、售后服务及其所涉及的相关环境管理活动。</w:t>
            </w:r>
          </w:p>
          <w:p>
            <w:pPr>
              <w:spacing w:line="360" w:lineRule="auto"/>
              <w:ind w:firstLine="420" w:firstLineChars="200"/>
              <w:rPr>
                <w:szCs w:val="22"/>
              </w:rPr>
            </w:pPr>
            <w:r>
              <w:rPr>
                <w:rFonts w:hint="eastAsia"/>
                <w:szCs w:val="22"/>
              </w:rPr>
              <w:t xml:space="preserve"> E：骨灰盒存放架、智能型骨灰盒存放架、无电智能骨灰存放架、福寿架、牌位架的生产、销售、售后服务；太平柜、瞻仰台、解剖台、骨灰盒存放架远程及现场祭拜管理系统、骨灰盒存放架大数据云管理平台、骨灰盒存放架AI人工智能存放系统、骨灰盒存放架区块链加密系统、智慧殡葬管理系统、智慧寺院管理系统、计算机软硬件的销售、售后服务及其所涉及的相关环境管理活动。</w:t>
            </w:r>
          </w:p>
          <w:p>
            <w:pPr>
              <w:spacing w:line="360" w:lineRule="auto"/>
              <w:ind w:firstLine="420" w:firstLineChars="200"/>
              <w:rPr>
                <w:szCs w:val="22"/>
              </w:rPr>
            </w:pPr>
            <w:r>
              <w:rPr>
                <w:szCs w:val="22"/>
              </w:rPr>
              <w:t>O：骨灰盒存放架、智能型骨灰盒存放架、无电智能骨灰存放架、福寿架、牌位架的生产、销售、售后服务；太平柜、瞻仰台、解剖台、骨灰盒存放架远程及现场祭拜管理系统、骨灰盒存放架大数据云管理平台、骨灰盒存放架AI人工智能存放系统、骨灰盒存放架区块链加密系统、智慧殡葬管理系统、智慧寺院管理系统、计算机软硬件的销售、售后服务及其所涉及的相关职业健康安全管理活动</w:t>
            </w:r>
            <w:r>
              <w:rPr>
                <w:rFonts w:hint="eastAsia"/>
                <w:szCs w:val="22"/>
              </w:rPr>
              <w:t>.</w:t>
            </w:r>
          </w:p>
          <w:p>
            <w:pPr>
              <w:spacing w:line="360" w:lineRule="auto"/>
              <w:ind w:firstLine="420" w:firstLineChars="200"/>
              <w:rPr>
                <w:rFonts w:hint="eastAsia"/>
                <w:szCs w:val="22"/>
              </w:rPr>
            </w:pPr>
            <w:r>
              <w:rPr>
                <w:rFonts w:hint="eastAsia"/>
                <w:szCs w:val="22"/>
              </w:rPr>
              <w:t>公司管理体系</w:t>
            </w:r>
            <w:r>
              <w:rPr>
                <w:rFonts w:hint="eastAsia"/>
                <w:szCs w:val="22"/>
                <w:lang w:eastAsia="zh-CN"/>
              </w:rPr>
              <w:t>本审核周期内未发生</w:t>
            </w:r>
            <w:r>
              <w:rPr>
                <w:rFonts w:hint="eastAsia"/>
                <w:szCs w:val="22"/>
              </w:rPr>
              <w:t>变更。</w:t>
            </w:r>
          </w:p>
          <w:p>
            <w:pPr>
              <w:spacing w:line="360" w:lineRule="auto"/>
              <w:ind w:firstLine="420" w:firstLineChars="200"/>
            </w:pPr>
            <w:r>
              <w:rPr>
                <w:rFonts w:hint="eastAsia"/>
                <w:szCs w:val="22"/>
              </w:rPr>
              <w:t>基本合理。</w:t>
            </w:r>
            <w:bookmarkStart w:id="4" w:name="_GoBack"/>
            <w:bookmarkEnd w:id="4"/>
          </w:p>
        </w:tc>
        <w:tc>
          <w:tcPr>
            <w:tcW w:w="96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160" w:type="dxa"/>
          </w:tcPr>
          <w:p>
            <w:pPr>
              <w:adjustRightInd w:val="0"/>
              <w:snapToGrid w:val="0"/>
              <w:spacing w:line="240" w:lineRule="auto"/>
              <w:ind w:right="105" w:rightChars="50"/>
              <w:textAlignment w:val="baseline"/>
              <w:rPr>
                <w:rFonts w:hint="eastAsia" w:ascii="宋体" w:hAnsi="宋体" w:eastAsia="宋体" w:cs="Arial"/>
                <w:spacing w:val="-6"/>
                <w:szCs w:val="21"/>
              </w:rPr>
            </w:pPr>
            <w:r>
              <w:rPr>
                <w:rFonts w:hint="eastAsia" w:ascii="宋体" w:hAnsi="宋体" w:eastAsia="宋体" w:cs="Arial"/>
                <w:spacing w:val="-6"/>
                <w:szCs w:val="21"/>
              </w:rPr>
              <w:t>质量/环境/职业健康安全方针</w:t>
            </w:r>
          </w:p>
          <w:p>
            <w:pPr>
              <w:adjustRightInd w:val="0"/>
              <w:snapToGrid w:val="0"/>
              <w:spacing w:line="240" w:lineRule="auto"/>
              <w:ind w:right="105" w:rightChars="50"/>
              <w:textAlignment w:val="baseline"/>
              <w:rPr>
                <w:rFonts w:ascii="宋体" w:hAnsi="宋体" w:cs="Arial"/>
                <w:spacing w:val="-6"/>
                <w:szCs w:val="21"/>
              </w:rPr>
            </w:pPr>
            <w:r>
              <w:rPr>
                <w:rFonts w:hint="eastAsia" w:ascii="宋体" w:hAnsi="宋体" w:eastAsia="宋体" w:cs="Arial"/>
                <w:spacing w:val="-6"/>
                <w:szCs w:val="21"/>
              </w:rPr>
              <w:t>质量/环境/职业健康安全目标及其实现的策划</w:t>
            </w:r>
          </w:p>
        </w:tc>
        <w:tc>
          <w:tcPr>
            <w:tcW w:w="1209" w:type="dxa"/>
          </w:tcPr>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QEO:5.2</w:t>
            </w:r>
          </w:p>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QEO:6.2</w:t>
            </w:r>
          </w:p>
        </w:tc>
        <w:tc>
          <w:tcPr>
            <w:tcW w:w="10371" w:type="dxa"/>
          </w:tcPr>
          <w:p>
            <w:pPr>
              <w:spacing w:line="360" w:lineRule="auto"/>
              <w:ind w:firstLine="420" w:firstLineChars="200"/>
              <w:rPr>
                <w:szCs w:val="22"/>
              </w:rPr>
            </w:pPr>
            <w:r>
              <w:rPr>
                <w:rFonts w:hint="eastAsia"/>
                <w:szCs w:val="22"/>
              </w:rPr>
              <w:t>《管理手册》中明确了公司的质量、环境、职业健康安全方针是：</w:t>
            </w:r>
          </w:p>
          <w:p>
            <w:pPr>
              <w:spacing w:line="360" w:lineRule="auto"/>
              <w:ind w:firstLine="420" w:firstLineChars="200"/>
              <w:rPr>
                <w:szCs w:val="22"/>
              </w:rPr>
            </w:pPr>
            <w:r>
              <w:rPr>
                <w:rFonts w:hint="eastAsia"/>
                <w:szCs w:val="22"/>
              </w:rPr>
              <w:t>质量环境职业健康安全方针：</w:t>
            </w:r>
          </w:p>
          <w:p>
            <w:pPr>
              <w:spacing w:line="480" w:lineRule="exact"/>
              <w:ind w:firstLine="525" w:firstLineChars="250"/>
              <w:rPr>
                <w:szCs w:val="22"/>
              </w:rPr>
            </w:pPr>
            <w:r>
              <w:rPr>
                <w:rFonts w:hint="eastAsia"/>
                <w:szCs w:val="22"/>
              </w:rPr>
              <w:t>质量方针：</w:t>
            </w:r>
            <w:r>
              <w:rPr>
                <w:szCs w:val="22"/>
              </w:rPr>
              <w:t>质量至上</w:t>
            </w:r>
            <w:r>
              <w:rPr>
                <w:rFonts w:hint="eastAsia"/>
                <w:szCs w:val="22"/>
              </w:rPr>
              <w:t>、持续创新、诚实守信、顾客至上</w:t>
            </w:r>
            <w:r>
              <w:rPr>
                <w:szCs w:val="22"/>
              </w:rPr>
              <w:t xml:space="preserve"> </w:t>
            </w:r>
          </w:p>
          <w:p>
            <w:pPr>
              <w:tabs>
                <w:tab w:val="left" w:pos="720"/>
              </w:tabs>
              <w:spacing w:line="480" w:lineRule="exact"/>
              <w:ind w:firstLine="525" w:firstLineChars="250"/>
              <w:rPr>
                <w:szCs w:val="22"/>
              </w:rPr>
            </w:pPr>
            <w:r>
              <w:rPr>
                <w:rFonts w:hint="eastAsia"/>
                <w:szCs w:val="22"/>
              </w:rPr>
              <w:t>环境职业健康安全方针：预防为主，降低风险；遵章守法，创造和谐</w:t>
            </w:r>
          </w:p>
          <w:p>
            <w:pPr>
              <w:spacing w:line="360" w:lineRule="auto"/>
              <w:ind w:firstLine="420" w:firstLineChars="200"/>
              <w:rPr>
                <w:rFonts w:hint="eastAsia"/>
                <w:szCs w:val="22"/>
              </w:rPr>
            </w:pPr>
            <w:r>
              <w:rPr>
                <w:rFonts w:hint="eastAsia"/>
                <w:szCs w:val="22"/>
              </w:rPr>
              <w:t>方针适宜于公司现状，在管理手册中明确，通过文件发放，是员工获知，适用时提供给相关方。并以方针为框架，建立了公司管理目标：</w:t>
            </w:r>
          </w:p>
          <w:p>
            <w:pPr>
              <w:spacing w:line="360" w:lineRule="auto"/>
              <w:ind w:firstLine="420" w:firstLineChars="200"/>
              <w:rPr>
                <w:szCs w:val="22"/>
              </w:rPr>
            </w:pPr>
            <w:r>
              <w:rPr>
                <w:rFonts w:hint="eastAsia"/>
                <w:szCs w:val="22"/>
              </w:rPr>
              <w:t>产品质量目标：产品出厂合格率100%；</w:t>
            </w:r>
          </w:p>
          <w:p>
            <w:pPr>
              <w:tabs>
                <w:tab w:val="left" w:pos="840"/>
              </w:tabs>
              <w:spacing w:line="480" w:lineRule="exact"/>
              <w:rPr>
                <w:szCs w:val="22"/>
              </w:rPr>
            </w:pPr>
            <w:r>
              <w:rPr>
                <w:rFonts w:hint="eastAsia"/>
                <w:szCs w:val="22"/>
              </w:rPr>
              <w:t xml:space="preserve">               </w:t>
            </w:r>
            <w:r>
              <w:rPr>
                <w:rFonts w:hint="eastAsia"/>
                <w:szCs w:val="22"/>
                <w:lang w:val="en-US" w:eastAsia="zh-CN"/>
              </w:rPr>
              <w:t xml:space="preserve">  </w:t>
            </w:r>
            <w:r>
              <w:rPr>
                <w:rFonts w:hint="eastAsia"/>
                <w:szCs w:val="22"/>
              </w:rPr>
              <w:t xml:space="preserve"> 客户满意度大于92分 </w:t>
            </w:r>
          </w:p>
          <w:p>
            <w:pPr>
              <w:tabs>
                <w:tab w:val="left" w:pos="840"/>
              </w:tabs>
              <w:spacing w:line="480" w:lineRule="exact"/>
              <w:ind w:firstLine="420" w:firstLineChars="200"/>
              <w:rPr>
                <w:szCs w:val="22"/>
              </w:rPr>
            </w:pPr>
            <w:r>
              <w:rPr>
                <w:rFonts w:hint="eastAsia"/>
                <w:szCs w:val="22"/>
              </w:rPr>
              <w:t>环境安全目标：固体废弃物分类处置率100%；</w:t>
            </w:r>
          </w:p>
          <w:p>
            <w:pPr>
              <w:tabs>
                <w:tab w:val="left" w:pos="840"/>
              </w:tabs>
              <w:spacing w:line="480" w:lineRule="exact"/>
              <w:ind w:firstLine="1890" w:firstLineChars="900"/>
              <w:rPr>
                <w:szCs w:val="22"/>
              </w:rPr>
            </w:pPr>
            <w:r>
              <w:rPr>
                <w:rFonts w:hint="eastAsia"/>
                <w:szCs w:val="22"/>
              </w:rPr>
              <w:t>火灾事故为0</w:t>
            </w:r>
          </w:p>
          <w:p>
            <w:pPr>
              <w:spacing w:line="360" w:lineRule="auto"/>
              <w:ind w:firstLine="420" w:firstLineChars="200"/>
              <w:rPr>
                <w:szCs w:val="22"/>
              </w:rPr>
            </w:pPr>
            <w:r>
              <w:rPr>
                <w:rFonts w:hint="eastAsia"/>
                <w:szCs w:val="22"/>
              </w:rPr>
              <w:t>保留有</w:t>
            </w:r>
            <w:r>
              <w:rPr>
                <w:szCs w:val="22"/>
              </w:rPr>
              <w:t>公司的环境和安全管理方案和控制措施。</w:t>
            </w:r>
          </w:p>
          <w:p>
            <w:pPr>
              <w:spacing w:line="360" w:lineRule="auto"/>
              <w:ind w:firstLine="420" w:firstLineChars="200"/>
              <w:rPr>
                <w:szCs w:val="22"/>
              </w:rPr>
            </w:pPr>
            <w:r>
              <w:rPr>
                <w:szCs w:val="22"/>
              </w:rPr>
              <w:t>基本符合。</w:t>
            </w:r>
          </w:p>
          <w:p>
            <w:pPr>
              <w:spacing w:line="360" w:lineRule="auto"/>
              <w:ind w:firstLine="420" w:firstLineChars="200"/>
              <w:rPr>
                <w:szCs w:val="22"/>
              </w:rPr>
            </w:pPr>
            <w:r>
              <w:rPr>
                <w:szCs w:val="22"/>
              </w:rPr>
              <w:t>保留“目标分解考核表”，对管理目标</w:t>
            </w:r>
            <w:r>
              <w:rPr>
                <w:rFonts w:hint="eastAsia"/>
                <w:szCs w:val="22"/>
              </w:rPr>
              <w:t>按照部门</w:t>
            </w:r>
            <w:r>
              <w:rPr>
                <w:szCs w:val="22"/>
              </w:rPr>
              <w:t>进行了分解</w:t>
            </w:r>
            <w:r>
              <w:rPr>
                <w:rFonts w:hint="eastAsia"/>
                <w:szCs w:val="22"/>
              </w:rPr>
              <w:t>；</w:t>
            </w:r>
          </w:p>
          <w:p>
            <w:pPr>
              <w:ind w:firstLine="420" w:firstLineChars="200"/>
            </w:pPr>
            <w:r>
              <w:rPr>
                <w:rFonts w:hint="eastAsia"/>
                <w:szCs w:val="22"/>
              </w:rPr>
              <w:t>保留“</w:t>
            </w:r>
            <w:r>
              <w:rPr>
                <w:szCs w:val="22"/>
              </w:rPr>
              <w:t>目标分解考核表</w:t>
            </w:r>
            <w:r>
              <w:rPr>
                <w:rFonts w:hint="eastAsia"/>
                <w:szCs w:val="22"/>
              </w:rPr>
              <w:t>”，</w:t>
            </w:r>
            <w:r>
              <w:rPr>
                <w:szCs w:val="22"/>
              </w:rPr>
              <w:t>2022年</w:t>
            </w:r>
            <w:r>
              <w:rPr>
                <w:rFonts w:hint="eastAsia"/>
                <w:szCs w:val="22"/>
              </w:rPr>
              <w:t>1-6月</w:t>
            </w:r>
            <w:r>
              <w:rPr>
                <w:szCs w:val="22"/>
              </w:rPr>
              <w:t>目标均已完成。</w:t>
            </w:r>
          </w:p>
        </w:tc>
        <w:tc>
          <w:tcPr>
            <w:tcW w:w="96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160" w:type="dxa"/>
          </w:tcPr>
          <w:p>
            <w:pPr>
              <w:adjustRightInd w:val="0"/>
              <w:snapToGrid w:val="0"/>
              <w:spacing w:line="240" w:lineRule="auto"/>
              <w:ind w:right="105" w:rightChars="50"/>
              <w:textAlignment w:val="baseline"/>
              <w:rPr>
                <w:rFonts w:hint="eastAsia" w:ascii="宋体" w:hAnsi="宋体" w:eastAsia="宋体" w:cs="Arial"/>
                <w:spacing w:val="-6"/>
                <w:szCs w:val="21"/>
              </w:rPr>
            </w:pPr>
            <w:r>
              <w:rPr>
                <w:rFonts w:hint="eastAsia" w:ascii="宋体" w:hAnsi="宋体" w:eastAsia="宋体" w:cs="Arial"/>
                <w:spacing w:val="-6"/>
                <w:szCs w:val="21"/>
              </w:rPr>
              <w:t>领导作用和承诺</w:t>
            </w:r>
          </w:p>
          <w:p>
            <w:pPr>
              <w:adjustRightInd w:val="0"/>
              <w:snapToGrid w:val="0"/>
              <w:spacing w:line="240" w:lineRule="auto"/>
              <w:ind w:right="105" w:rightChars="50"/>
              <w:textAlignment w:val="baseline"/>
              <w:rPr>
                <w:rFonts w:ascii="宋体" w:hAnsi="宋体" w:cs="Arial"/>
                <w:spacing w:val="-6"/>
                <w:szCs w:val="21"/>
              </w:rPr>
            </w:pPr>
            <w:r>
              <w:rPr>
                <w:rFonts w:hint="eastAsia" w:ascii="宋体" w:hAnsi="宋体" w:eastAsia="宋体" w:cs="Arial"/>
                <w:spacing w:val="-6"/>
                <w:szCs w:val="21"/>
              </w:rPr>
              <w:t>组织的岗位、职责和权限</w:t>
            </w:r>
          </w:p>
        </w:tc>
        <w:tc>
          <w:tcPr>
            <w:tcW w:w="1209" w:type="dxa"/>
          </w:tcPr>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QEO:5.1</w:t>
            </w:r>
          </w:p>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QEO:5.3</w:t>
            </w:r>
          </w:p>
        </w:tc>
        <w:tc>
          <w:tcPr>
            <w:tcW w:w="10371" w:type="dxa"/>
          </w:tcPr>
          <w:p>
            <w:pPr>
              <w:spacing w:line="360" w:lineRule="auto"/>
              <w:ind w:firstLine="420" w:firstLineChars="200"/>
              <w:rPr>
                <w:szCs w:val="22"/>
              </w:rPr>
            </w:pPr>
            <w:r>
              <w:rPr>
                <w:rFonts w:hint="eastAsia"/>
                <w:szCs w:val="22"/>
              </w:rPr>
              <w:t>最高管理者在管理手册中明确了各部门和各岗位的职责和权限，以确保管理体系符合各项标准的要求，并确保各个过程获得其预期输出。</w:t>
            </w:r>
          </w:p>
          <w:p>
            <w:pPr>
              <w:spacing w:line="360" w:lineRule="auto"/>
              <w:ind w:firstLine="420" w:firstLineChars="200"/>
              <w:rPr>
                <w:szCs w:val="22"/>
              </w:rPr>
            </w:pPr>
            <w:r>
              <w:rPr>
                <w:rFonts w:hint="eastAsia"/>
                <w:szCs w:val="22"/>
              </w:rPr>
              <w:t>经授权的分管领导向最高管理者报告质量、环境、职业健康安全管理体系的绩效及改进机会，确保整个组织推动以顾客为关注焦点、保持环境管理和职业健康安全管理绩效，确保在策划和实施管理体系变更时保持其完整性。</w:t>
            </w:r>
          </w:p>
          <w:p>
            <w:pPr>
              <w:spacing w:line="360" w:lineRule="auto"/>
              <w:ind w:firstLine="420" w:firstLineChars="200"/>
              <w:rPr>
                <w:szCs w:val="22"/>
              </w:rPr>
            </w:pPr>
            <w:r>
              <w:rPr>
                <w:rFonts w:hint="eastAsia"/>
                <w:szCs w:val="22"/>
              </w:rPr>
              <w:t>公司组织机构设置有：</w:t>
            </w:r>
            <w:r>
              <w:rPr>
                <w:rFonts w:hint="eastAsia" w:ascii="宋体" w:hAnsi="宋体" w:cs="Arial"/>
                <w:spacing w:val="-6"/>
                <w:szCs w:val="21"/>
              </w:rPr>
              <w:t>办公室、业务部、生产部、质检部、采购部</w:t>
            </w:r>
            <w:r>
              <w:rPr>
                <w:rFonts w:hint="eastAsia"/>
                <w:szCs w:val="22"/>
              </w:rPr>
              <w:t>。</w:t>
            </w:r>
          </w:p>
          <w:p>
            <w:pPr>
              <w:spacing w:line="360" w:lineRule="auto"/>
              <w:ind w:firstLine="420" w:firstLineChars="200"/>
              <w:rPr>
                <w:rFonts w:hint="eastAsia"/>
                <w:szCs w:val="22"/>
              </w:rPr>
            </w:pPr>
            <w:r>
              <w:rPr>
                <w:rFonts w:hint="eastAsia"/>
                <w:szCs w:val="22"/>
              </w:rPr>
              <w:t>经查每个部门均有部门职责和权限，各岗位的职责和权限、任职要求在《管理手册》中得到规定。</w:t>
            </w:r>
          </w:p>
          <w:p>
            <w:pPr>
              <w:spacing w:line="360" w:lineRule="auto"/>
              <w:ind w:firstLine="420" w:firstLineChars="200"/>
            </w:pPr>
            <w:r>
              <w:rPr>
                <w:rFonts w:hint="eastAsia"/>
                <w:szCs w:val="22"/>
              </w:rPr>
              <w:t>经查问组织内的职责和权限基本得到沟通，通过文件发布、传达、会议、培训等了解有关职责和权限。</w:t>
            </w:r>
          </w:p>
        </w:tc>
        <w:tc>
          <w:tcPr>
            <w:tcW w:w="96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160" w:type="dxa"/>
          </w:tcPr>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资源总则</w:t>
            </w:r>
          </w:p>
        </w:tc>
        <w:tc>
          <w:tcPr>
            <w:tcW w:w="1209" w:type="dxa"/>
          </w:tcPr>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Q:7.1.1</w:t>
            </w:r>
          </w:p>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EO:7.1</w:t>
            </w:r>
          </w:p>
        </w:tc>
        <w:tc>
          <w:tcPr>
            <w:tcW w:w="10371" w:type="dxa"/>
          </w:tcPr>
          <w:p>
            <w:pPr>
              <w:spacing w:line="360" w:lineRule="auto"/>
              <w:ind w:firstLine="420" w:firstLineChars="200"/>
              <w:rPr>
                <w:szCs w:val="22"/>
              </w:rPr>
            </w:pPr>
            <w:r>
              <w:rPr>
                <w:rFonts w:hint="eastAsia"/>
                <w:szCs w:val="22"/>
              </w:rPr>
              <w:t>公司注册资金8002万元，</w:t>
            </w:r>
            <w:r>
              <w:rPr>
                <w:rFonts w:hint="eastAsia"/>
                <w:szCs w:val="22"/>
                <w:lang w:eastAsia="zh-CN"/>
              </w:rPr>
              <w:t>占地面积</w:t>
            </w:r>
            <w:r>
              <w:rPr>
                <w:rFonts w:hint="eastAsia"/>
                <w:szCs w:val="22"/>
                <w:lang w:val="en-US" w:eastAsia="zh-CN"/>
              </w:rPr>
              <w:t>4000平方米；</w:t>
            </w:r>
            <w:r>
              <w:rPr>
                <w:rFonts w:hint="eastAsia"/>
                <w:szCs w:val="22"/>
              </w:rPr>
              <w:t>主要进行骨灰盒存放架、智能型骨灰盒存放架、无电智能骨灰存放架、福寿架、牌位架的生产、销售、售后服务（退换货、投诉处理）；太平柜、瞻仰台、解剖台、骨灰盒存放架远程及现场祭拜管理系统、骨灰盒存放架大数据云管理平台、骨灰盒存放架AI人工智能存放系统、骨灰盒存放架区块链加密系统、智慧殡葬管理系统、智慧寺院管理系统、计算机软硬件的销售、售后服务（退换货、投诉处理）。</w:t>
            </w:r>
          </w:p>
          <w:p>
            <w:pPr>
              <w:spacing w:line="360" w:lineRule="auto"/>
              <w:ind w:firstLine="420" w:firstLineChars="200"/>
              <w:rPr>
                <w:szCs w:val="22"/>
              </w:rPr>
            </w:pPr>
            <w:r>
              <w:rPr>
                <w:rFonts w:hint="eastAsia"/>
                <w:szCs w:val="22"/>
              </w:rPr>
              <w:t>公司部门设置有：办公室、业务部、质检部、采购部、生产部；共约45人左右。</w:t>
            </w:r>
          </w:p>
          <w:p>
            <w:pPr>
              <w:spacing w:line="360" w:lineRule="auto"/>
              <w:ind w:firstLine="420" w:firstLineChars="200"/>
              <w:rPr>
                <w:rFonts w:hint="eastAsia"/>
                <w:szCs w:val="22"/>
                <w:lang w:eastAsia="zh-CN"/>
              </w:rPr>
            </w:pPr>
            <w:r>
              <w:rPr>
                <w:rFonts w:hint="eastAsia"/>
                <w:szCs w:val="22"/>
              </w:rPr>
              <w:t>公司主要设备包括：剪板机、冲床、压力机、点焊机、切割机、折弯机、全自动喷涂流水线、办公桌、电脑、电话等</w:t>
            </w:r>
            <w:r>
              <w:rPr>
                <w:rFonts w:hint="eastAsia"/>
                <w:szCs w:val="22"/>
                <w:lang w:eastAsia="zh-CN"/>
              </w:rPr>
              <w:t>；</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Cs w:val="22"/>
                <w:lang w:val="en-US" w:eastAsia="zh-CN"/>
              </w:rPr>
            </w:pPr>
            <w:r>
              <w:rPr>
                <w:rFonts w:hint="eastAsia"/>
                <w:szCs w:val="22"/>
              </w:rPr>
              <w:t>环保设施有：</w:t>
            </w:r>
            <w:r>
              <w:rPr>
                <w:rFonts w:hint="eastAsia" w:cs="Times New Roman"/>
                <w:szCs w:val="22"/>
                <w:lang w:val="en-US" w:eastAsia="zh-CN"/>
              </w:rPr>
              <w:t>环保设备：除尘装置、污水处理装置、消防设备设施等；</w:t>
            </w:r>
          </w:p>
          <w:p>
            <w:pPr>
              <w:spacing w:line="360" w:lineRule="auto"/>
              <w:ind w:firstLine="420" w:firstLineChars="200"/>
              <w:rPr>
                <w:szCs w:val="22"/>
              </w:rPr>
            </w:pPr>
            <w:r>
              <w:rPr>
                <w:rFonts w:hint="eastAsia"/>
                <w:szCs w:val="22"/>
              </w:rPr>
              <w:t>监视和测量仪器主要有：游标卡尺、钢卷尺等；</w:t>
            </w:r>
          </w:p>
          <w:p>
            <w:pPr>
              <w:spacing w:line="360" w:lineRule="auto"/>
              <w:ind w:firstLine="420" w:firstLineChars="200"/>
              <w:rPr>
                <w:szCs w:val="22"/>
              </w:rPr>
            </w:pPr>
            <w:r>
              <w:rPr>
                <w:szCs w:val="22"/>
              </w:rPr>
              <w:t>确认公司目前人力资源、基础设施、销售人员、财力、信息等资源均能保证。公司厂房，库房、办公室、会议室，现场配备了灭火器、消防栓等消防安全设备，能保证企业正常办公。</w:t>
            </w:r>
          </w:p>
          <w:p>
            <w:pPr>
              <w:spacing w:line="360" w:lineRule="auto"/>
              <w:ind w:firstLine="420" w:firstLineChars="200"/>
              <w:rPr>
                <w:szCs w:val="22"/>
              </w:rPr>
            </w:pPr>
            <w:r>
              <w:rPr>
                <w:szCs w:val="22"/>
              </w:rPr>
              <w:t>公司财务能保证质量、环境、职业健康安全工作的开展，确保相关资金及时投入。</w:t>
            </w:r>
          </w:p>
          <w:p>
            <w:pPr>
              <w:spacing w:line="360" w:lineRule="auto"/>
              <w:ind w:firstLine="420" w:firstLineChars="200"/>
              <w:rPr>
                <w:szCs w:val="22"/>
              </w:rPr>
            </w:pPr>
            <w:r>
              <w:rPr>
                <w:szCs w:val="22"/>
              </w:rPr>
              <w:t>基本能满足体系运行的要求。</w:t>
            </w:r>
          </w:p>
        </w:tc>
        <w:tc>
          <w:tcPr>
            <w:tcW w:w="96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spacing w:line="240" w:lineRule="auto"/>
              <w:ind w:right="105" w:rightChars="50"/>
              <w:textAlignment w:val="baseline"/>
              <w:rPr>
                <w:rFonts w:hint="eastAsia" w:ascii="宋体" w:hAnsi="宋体" w:eastAsia="宋体" w:cs="Arial"/>
                <w:spacing w:val="-6"/>
                <w:szCs w:val="21"/>
              </w:rPr>
            </w:pPr>
            <w:r>
              <w:rPr>
                <w:rFonts w:hint="eastAsia" w:ascii="宋体" w:hAnsi="宋体" w:eastAsia="宋体" w:cs="Arial"/>
                <w:spacing w:val="-6"/>
                <w:szCs w:val="21"/>
              </w:rPr>
              <w:t>沟通/信息交流</w:t>
            </w:r>
          </w:p>
          <w:p>
            <w:pPr>
              <w:adjustRightInd w:val="0"/>
              <w:snapToGrid w:val="0"/>
              <w:spacing w:line="240" w:lineRule="auto"/>
              <w:ind w:right="105" w:rightChars="50"/>
              <w:textAlignment w:val="baseline"/>
              <w:rPr>
                <w:rFonts w:ascii="宋体" w:hAnsi="宋体" w:cs="Arial"/>
                <w:spacing w:val="-6"/>
                <w:szCs w:val="21"/>
              </w:rPr>
            </w:pPr>
            <w:r>
              <w:rPr>
                <w:rFonts w:hint="eastAsia" w:ascii="宋体" w:hAnsi="宋体" w:eastAsia="宋体" w:cs="Arial"/>
                <w:spacing w:val="-6"/>
                <w:szCs w:val="21"/>
              </w:rPr>
              <w:t>协商与参与</w:t>
            </w:r>
          </w:p>
        </w:tc>
        <w:tc>
          <w:tcPr>
            <w:tcW w:w="1209" w:type="dxa"/>
          </w:tcPr>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QEO:7.4</w:t>
            </w:r>
          </w:p>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O:5.4</w:t>
            </w:r>
          </w:p>
        </w:tc>
        <w:tc>
          <w:tcPr>
            <w:tcW w:w="10371" w:type="dxa"/>
          </w:tcPr>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编制了《信息交流与沟通控制程序》，确了内部外部信息交流的内容及职责，包含重要环境因素、不可接受风险、管理方针、应急控制等的交流规定。</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组织在各部门之间建立了与体系有关的信息通渠沟道，借助于会议、电话、微信、网络、口头交流等方式使全体员工达到沟通和理解。目前各部门协调一致，工作上的接口基本理顺。</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总经理定期主持经营办公例会，分析公司的发展、市场情况和体系运行是否有效，管理目标完成情况，满足顾客要求和法规程度，改进建议等内部管理存在问题等。</w:t>
            </w:r>
          </w:p>
          <w:p>
            <w:pPr>
              <w:spacing w:line="360" w:lineRule="auto"/>
              <w:ind w:firstLine="420" w:firstLineChars="200"/>
              <w:rPr>
                <w:szCs w:val="22"/>
              </w:rPr>
            </w:pPr>
            <w:r>
              <w:rPr>
                <w:rFonts w:hint="eastAsia"/>
                <w:szCs w:val="22"/>
              </w:rPr>
              <w:t>总经理为协商、参与提供了时间、机会、培训、资源等保障，明确了沟通、协商、参与渠道，消除了障碍和壁垒。</w:t>
            </w:r>
          </w:p>
          <w:p>
            <w:pPr>
              <w:spacing w:line="360" w:lineRule="auto"/>
              <w:ind w:firstLine="420" w:firstLineChars="200"/>
              <w:rPr>
                <w:szCs w:val="22"/>
              </w:rPr>
            </w:pPr>
            <w:r>
              <w:rPr>
                <w:rFonts w:hint="eastAsia"/>
                <w:szCs w:val="22"/>
              </w:rPr>
              <w:t>日常对于质量、环保、安全方面的信息主要利用会议、培训、座谈、电话、网络、收文等方式进行内外部沟通和协商。</w:t>
            </w:r>
          </w:p>
          <w:p>
            <w:pPr>
              <w:spacing w:line="360" w:lineRule="auto"/>
              <w:ind w:firstLine="420" w:firstLineChars="200"/>
              <w:rPr>
                <w:szCs w:val="22"/>
              </w:rPr>
            </w:pPr>
            <w:r>
              <w:rPr>
                <w:rFonts w:hint="eastAsia"/>
                <w:szCs w:val="22"/>
              </w:rPr>
              <w:t>经交流：目前与环保、劳动、消防、安监部门的外部信息交流主要是参加会议、接收来文、电话、邮件等，均按要求予以传达和落实，沟通情况较好。</w:t>
            </w:r>
          </w:p>
          <w:p>
            <w:pPr>
              <w:spacing w:line="360" w:lineRule="auto"/>
              <w:ind w:firstLine="420" w:firstLineChars="200"/>
              <w:rPr>
                <w:rFonts w:hint="eastAsia"/>
                <w:szCs w:val="22"/>
              </w:rPr>
            </w:pPr>
            <w:r>
              <w:rPr>
                <w:rFonts w:hint="eastAsia"/>
                <w:szCs w:val="22"/>
              </w:rPr>
              <w:t>现有的沟通渠道和方法能满足要求。</w:t>
            </w:r>
          </w:p>
          <w:p>
            <w:pPr>
              <w:spacing w:line="360" w:lineRule="auto"/>
              <w:ind w:firstLine="420" w:firstLineChars="200"/>
              <w:rPr>
                <w:szCs w:val="22"/>
              </w:rPr>
            </w:pPr>
            <w:r>
              <w:rPr>
                <w:rFonts w:hint="eastAsia"/>
                <w:szCs w:val="22"/>
              </w:rPr>
              <w:t>相关人员能够适当参与并协商办理公司经营管理及安全事务等工作。</w:t>
            </w:r>
          </w:p>
          <w:p>
            <w:pPr>
              <w:spacing w:line="360" w:lineRule="auto"/>
              <w:ind w:firstLine="420" w:firstLineChars="200"/>
              <w:rPr>
                <w:szCs w:val="22"/>
              </w:rPr>
            </w:pPr>
            <w:r>
              <w:rPr>
                <w:rFonts w:hint="eastAsia"/>
                <w:szCs w:val="22"/>
              </w:rPr>
              <w:t>公司经选举确定职业健康安全事务代表是</w:t>
            </w:r>
            <w:r>
              <w:rPr>
                <w:rFonts w:hint="eastAsia"/>
                <w:szCs w:val="22"/>
                <w:u w:val="single"/>
              </w:rPr>
              <w:t>黄鹤飞</w:t>
            </w:r>
            <w:r>
              <w:rPr>
                <w:rFonts w:hint="eastAsia"/>
                <w:szCs w:val="22"/>
              </w:rPr>
              <w:t>；管理手册中明确了其主要职责为：</w:t>
            </w:r>
          </w:p>
          <w:p>
            <w:pPr>
              <w:spacing w:line="360" w:lineRule="auto"/>
              <w:ind w:firstLine="420" w:firstLineChars="200"/>
              <w:rPr>
                <w:szCs w:val="22"/>
              </w:rPr>
            </w:pPr>
            <w:r>
              <w:rPr>
                <w:rFonts w:hint="eastAsia"/>
                <w:szCs w:val="22"/>
              </w:rPr>
              <w:t>1.参与管理方针和程序的制定和评审；</w:t>
            </w:r>
          </w:p>
          <w:p>
            <w:pPr>
              <w:spacing w:line="360" w:lineRule="auto"/>
              <w:ind w:firstLine="420" w:firstLineChars="200"/>
              <w:rPr>
                <w:szCs w:val="22"/>
              </w:rPr>
            </w:pPr>
            <w:r>
              <w:rPr>
                <w:rFonts w:hint="eastAsia"/>
                <w:szCs w:val="22"/>
              </w:rPr>
              <w:t>2.参与商讨影响工作场所职业健康安全的任何变化；</w:t>
            </w:r>
          </w:p>
          <w:p>
            <w:pPr>
              <w:spacing w:line="360" w:lineRule="auto"/>
              <w:ind w:firstLine="420" w:firstLineChars="200"/>
              <w:rPr>
                <w:szCs w:val="22"/>
              </w:rPr>
            </w:pPr>
            <w:r>
              <w:rPr>
                <w:rFonts w:hint="eastAsia"/>
                <w:szCs w:val="22"/>
              </w:rPr>
              <w:t>3.参与职业健康安全的事务的处理。</w:t>
            </w:r>
          </w:p>
          <w:p>
            <w:pPr>
              <w:spacing w:line="360" w:lineRule="auto"/>
              <w:ind w:firstLine="420" w:firstLineChars="200"/>
              <w:rPr>
                <w:szCs w:val="22"/>
              </w:rPr>
            </w:pPr>
            <w:r>
              <w:rPr>
                <w:rFonts w:hint="eastAsia"/>
                <w:szCs w:val="22"/>
              </w:rPr>
              <w:t>介绍说，公司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pPr>
              <w:spacing w:line="360" w:lineRule="auto"/>
              <w:ind w:firstLine="420" w:firstLineChars="200"/>
              <w:rPr>
                <w:szCs w:val="22"/>
              </w:rPr>
            </w:pPr>
            <w:r>
              <w:rPr>
                <w:rFonts w:hint="eastAsia"/>
                <w:szCs w:val="22"/>
              </w:rPr>
              <w:t>相关人员能够适当参与并协商办理公司经营管理及安全事务等工作。</w:t>
            </w:r>
          </w:p>
          <w:p>
            <w:pPr>
              <w:spacing w:line="360" w:lineRule="auto"/>
              <w:ind w:firstLine="420" w:firstLineChars="200"/>
            </w:pPr>
            <w:r>
              <w:rPr>
                <w:rFonts w:hint="eastAsia"/>
                <w:szCs w:val="22"/>
              </w:rPr>
              <w:t>安全事务代表能履行职责。</w:t>
            </w:r>
          </w:p>
        </w:tc>
        <w:tc>
          <w:tcPr>
            <w:tcW w:w="96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管理评审</w:t>
            </w:r>
          </w:p>
        </w:tc>
        <w:tc>
          <w:tcPr>
            <w:tcW w:w="1209" w:type="dxa"/>
          </w:tcPr>
          <w:p>
            <w:pPr>
              <w:adjustRightInd w:val="0"/>
              <w:snapToGrid w:val="0"/>
              <w:spacing w:line="360" w:lineRule="auto"/>
              <w:ind w:right="105" w:rightChars="50"/>
              <w:textAlignment w:val="baseline"/>
              <w:rPr>
                <w:rFonts w:ascii="宋体" w:hAnsi="宋体" w:cs="Arial"/>
                <w:b/>
                <w:spacing w:val="-6"/>
                <w:szCs w:val="21"/>
              </w:rPr>
            </w:pPr>
            <w:r>
              <w:rPr>
                <w:rFonts w:hint="eastAsia" w:ascii="宋体" w:hAnsi="宋体" w:cs="Arial"/>
                <w:spacing w:val="-6"/>
                <w:szCs w:val="21"/>
              </w:rPr>
              <w:t>QEO:9.3</w:t>
            </w:r>
          </w:p>
        </w:tc>
        <w:tc>
          <w:tcPr>
            <w:tcW w:w="10371" w:type="dxa"/>
          </w:tcPr>
          <w:p>
            <w:pPr>
              <w:spacing w:line="360" w:lineRule="auto"/>
              <w:ind w:firstLine="420" w:firstLineChars="200"/>
              <w:rPr>
                <w:szCs w:val="22"/>
              </w:rPr>
            </w:pPr>
            <w:r>
              <w:rPr>
                <w:rFonts w:hint="eastAsia"/>
                <w:szCs w:val="22"/>
              </w:rPr>
              <w:t>2022年10月12日在会议室黄鹤凡总经理主持了管理评审。保留有管理评审计划、管理评审会议通知、评审记录、评审报告和改进措施计划等；</w:t>
            </w:r>
          </w:p>
          <w:p>
            <w:pPr>
              <w:spacing w:line="360" w:lineRule="auto"/>
              <w:ind w:firstLine="420" w:firstLineChars="200"/>
              <w:rPr>
                <w:szCs w:val="22"/>
              </w:rPr>
            </w:pPr>
            <w:r>
              <w:rPr>
                <w:rFonts w:hint="eastAsia"/>
                <w:szCs w:val="22"/>
              </w:rPr>
              <w:t>管理评审输入较充分；</w:t>
            </w:r>
          </w:p>
          <w:p>
            <w:pPr>
              <w:spacing w:line="360" w:lineRule="auto"/>
              <w:ind w:firstLine="420" w:firstLineChars="200"/>
              <w:rPr>
                <w:szCs w:val="22"/>
              </w:rPr>
            </w:pPr>
            <w:r>
              <w:rPr>
                <w:rFonts w:hint="eastAsia"/>
                <w:szCs w:val="22"/>
              </w:rPr>
              <w:t>管理评审结论：管理体系的建立和运行是充分的、适宜的、有效的。</w:t>
            </w:r>
          </w:p>
          <w:p>
            <w:pPr>
              <w:spacing w:line="360" w:lineRule="auto"/>
              <w:ind w:firstLine="420" w:firstLineChars="200"/>
              <w:rPr>
                <w:rFonts w:hint="eastAsia"/>
                <w:szCs w:val="22"/>
              </w:rPr>
            </w:pPr>
            <w:r>
              <w:rPr>
                <w:rFonts w:hint="eastAsia"/>
                <w:szCs w:val="22"/>
              </w:rPr>
              <w:t>改进措施建议：生产效率提升等3项措施建议；</w:t>
            </w:r>
          </w:p>
          <w:p>
            <w:pPr>
              <w:spacing w:line="360" w:lineRule="auto"/>
              <w:ind w:firstLine="420" w:firstLineChars="200"/>
            </w:pPr>
            <w:r>
              <w:rPr>
                <w:rFonts w:hint="eastAsia"/>
                <w:szCs w:val="22"/>
              </w:rPr>
              <w:t>保留有“管理评审改进措施计划”。</w:t>
            </w:r>
          </w:p>
        </w:tc>
        <w:tc>
          <w:tcPr>
            <w:tcW w:w="96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160" w:type="dxa"/>
          </w:tcPr>
          <w:p>
            <w:pPr>
              <w:adjustRightInd w:val="0"/>
              <w:snapToGrid w:val="0"/>
              <w:spacing w:line="240" w:lineRule="auto"/>
              <w:ind w:right="105" w:rightChars="50"/>
              <w:textAlignment w:val="baseline"/>
              <w:rPr>
                <w:rFonts w:ascii="宋体" w:hAnsi="宋体" w:cs="Arial"/>
                <w:spacing w:val="-6"/>
                <w:szCs w:val="21"/>
              </w:rPr>
            </w:pPr>
            <w:r>
              <w:rPr>
                <w:rFonts w:hint="eastAsia" w:ascii="宋体" w:hAnsi="宋体" w:cs="Arial"/>
                <w:spacing w:val="-6"/>
                <w:szCs w:val="21"/>
              </w:rPr>
              <w:t>改进</w:t>
            </w:r>
          </w:p>
          <w:p>
            <w:pPr>
              <w:adjustRightInd w:val="0"/>
              <w:snapToGrid w:val="0"/>
              <w:spacing w:line="240" w:lineRule="auto"/>
              <w:ind w:right="105" w:rightChars="50"/>
              <w:textAlignment w:val="baseline"/>
              <w:rPr>
                <w:rFonts w:ascii="宋体" w:hAnsi="宋体" w:cs="Arial"/>
                <w:spacing w:val="-6"/>
                <w:szCs w:val="21"/>
              </w:rPr>
            </w:pPr>
            <w:r>
              <w:rPr>
                <w:rFonts w:hint="eastAsia" w:ascii="宋体" w:hAnsi="宋体" w:cs="Arial"/>
                <w:spacing w:val="-6"/>
                <w:szCs w:val="21"/>
              </w:rPr>
              <w:t>持续改进</w:t>
            </w:r>
          </w:p>
        </w:tc>
        <w:tc>
          <w:tcPr>
            <w:tcW w:w="1209" w:type="dxa"/>
          </w:tcPr>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QEO:10.1</w:t>
            </w:r>
          </w:p>
          <w:p>
            <w:pPr>
              <w:adjustRightInd w:val="0"/>
              <w:snapToGrid w:val="0"/>
              <w:spacing w:line="360" w:lineRule="auto"/>
              <w:ind w:right="105" w:rightChars="50"/>
              <w:textAlignment w:val="baseline"/>
              <w:rPr>
                <w:rFonts w:ascii="宋体" w:hAnsi="宋体" w:cs="Arial"/>
                <w:b/>
                <w:spacing w:val="-6"/>
                <w:szCs w:val="21"/>
              </w:rPr>
            </w:pPr>
            <w:r>
              <w:rPr>
                <w:rFonts w:hint="eastAsia" w:ascii="宋体" w:hAnsi="宋体" w:cs="Arial"/>
                <w:spacing w:val="-6"/>
                <w:szCs w:val="21"/>
              </w:rPr>
              <w:t>QEO:10.3</w:t>
            </w:r>
          </w:p>
        </w:tc>
        <w:tc>
          <w:tcPr>
            <w:tcW w:w="10371" w:type="dxa"/>
          </w:tcPr>
          <w:p>
            <w:pPr>
              <w:spacing w:line="360" w:lineRule="auto"/>
              <w:ind w:firstLine="420" w:firstLineChars="200"/>
              <w:rPr>
                <w:szCs w:val="22"/>
              </w:rPr>
            </w:pPr>
            <w:r>
              <w:rPr>
                <w:rFonts w:hint="eastAsia"/>
                <w:szCs w:val="22"/>
              </w:rPr>
              <w:t>管理者代表根据总经理意图组织持续改进过程的策划工作，由行政部实施持续改进过程的管理。</w:t>
            </w:r>
          </w:p>
          <w:p>
            <w:pPr>
              <w:spacing w:line="360" w:lineRule="auto"/>
              <w:ind w:firstLine="420" w:firstLineChars="200"/>
            </w:pPr>
            <w:r>
              <w:rPr>
                <w:rFonts w:hint="eastAsia"/>
                <w:szCs w:val="22"/>
              </w:rPr>
              <w:t>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96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160" w:type="dxa"/>
          </w:tcPr>
          <w:p>
            <w:pPr>
              <w:adjustRightInd w:val="0"/>
              <w:snapToGrid w:val="0"/>
              <w:spacing w:line="360" w:lineRule="auto"/>
              <w:ind w:right="105" w:rightChars="50"/>
              <w:textAlignment w:val="baseline"/>
              <w:rPr>
                <w:rFonts w:ascii="宋体" w:hAnsi="宋体" w:cs="Arial"/>
                <w:spacing w:val="-6"/>
                <w:szCs w:val="21"/>
              </w:rPr>
            </w:pPr>
            <w:r>
              <w:rPr>
                <w:rFonts w:hint="eastAsia" w:ascii="宋体" w:hAnsi="宋体" w:cs="Arial"/>
                <w:spacing w:val="-6"/>
                <w:szCs w:val="21"/>
              </w:rPr>
              <w:t>上次审核不符合验证</w:t>
            </w:r>
          </w:p>
        </w:tc>
        <w:tc>
          <w:tcPr>
            <w:tcW w:w="1209" w:type="dxa"/>
          </w:tcPr>
          <w:p>
            <w:pPr>
              <w:adjustRightInd w:val="0"/>
              <w:snapToGrid w:val="0"/>
              <w:spacing w:line="360" w:lineRule="auto"/>
              <w:ind w:right="105" w:rightChars="50"/>
              <w:textAlignment w:val="baseline"/>
              <w:rPr>
                <w:rFonts w:ascii="宋体" w:hAnsi="宋体" w:cs="Arial"/>
                <w:spacing w:val="-6"/>
                <w:szCs w:val="21"/>
              </w:rPr>
            </w:pPr>
          </w:p>
        </w:tc>
        <w:tc>
          <w:tcPr>
            <w:tcW w:w="10371" w:type="dxa"/>
          </w:tcPr>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上一次审核不符合项：现场查看化学物品存放间，存放有油漆，未提供油漆MSDS及风险告知，不符合化学物品存放管理要求。</w:t>
            </w:r>
          </w:p>
          <w:p>
            <w:pPr>
              <w:spacing w:line="360" w:lineRule="auto"/>
              <w:ind w:firstLine="420" w:firstLineChars="200"/>
              <w:rPr>
                <w:color w:val="000000" w:themeColor="text1"/>
              </w:rPr>
            </w:pPr>
            <w:r>
              <w:rPr>
                <w:rFonts w:hint="eastAsia" w:ascii="Times New Roman" w:hAnsi="Times New Roman" w:eastAsia="宋体" w:cs="Times New Roman"/>
                <w:szCs w:val="22"/>
              </w:rPr>
              <w:t>经本次审核验证，查见油漆存放间放有油漆MSDS风险告知</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无类似不符合情况出现，整改措施有效。</w:t>
            </w:r>
          </w:p>
        </w:tc>
        <w:tc>
          <w:tcPr>
            <w:tcW w:w="96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60" w:type="dxa"/>
          </w:tcPr>
          <w:p>
            <w:pPr>
              <w:adjustRightInd w:val="0"/>
              <w:snapToGrid w:val="0"/>
              <w:spacing w:line="240" w:lineRule="auto"/>
              <w:ind w:right="105" w:rightChars="50"/>
              <w:textAlignment w:val="baseline"/>
              <w:rPr>
                <w:rFonts w:ascii="宋体" w:hAnsi="宋体" w:cs="Arial"/>
                <w:spacing w:val="-6"/>
                <w:szCs w:val="21"/>
              </w:rPr>
            </w:pPr>
            <w:r>
              <w:rPr>
                <w:rFonts w:hint="eastAsia" w:ascii="宋体" w:hAnsi="宋体" w:cs="Arial"/>
                <w:spacing w:val="-6"/>
                <w:szCs w:val="21"/>
              </w:rPr>
              <w:t>验证企业相关资质证明的有效性，证书、标志的使用</w:t>
            </w:r>
          </w:p>
        </w:tc>
        <w:tc>
          <w:tcPr>
            <w:tcW w:w="1209" w:type="dxa"/>
          </w:tcPr>
          <w:p>
            <w:pPr>
              <w:adjustRightInd w:val="0"/>
              <w:snapToGrid w:val="0"/>
              <w:spacing w:line="360" w:lineRule="auto"/>
              <w:ind w:right="105" w:rightChars="50"/>
              <w:textAlignment w:val="baseline"/>
              <w:rPr>
                <w:rFonts w:ascii="宋体" w:hAnsi="宋体" w:cs="Arial"/>
                <w:spacing w:val="-6"/>
                <w:szCs w:val="21"/>
              </w:rPr>
            </w:pPr>
          </w:p>
        </w:tc>
        <w:tc>
          <w:tcPr>
            <w:tcW w:w="10371" w:type="dxa"/>
          </w:tcPr>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国家企业信用信息公示系统查询结果：营业执照续存，无风险警示。营业执照，有效。</w:t>
            </w:r>
          </w:p>
          <w:p>
            <w:pPr>
              <w:spacing w:line="360" w:lineRule="auto"/>
              <w:ind w:firstLine="420" w:firstLineChars="200"/>
            </w:pPr>
            <w:r>
              <w:rPr>
                <w:rFonts w:hint="eastAsia" w:ascii="Times New Roman" w:hAnsi="Times New Roman" w:eastAsia="宋体" w:cs="Times New Roman"/>
                <w:szCs w:val="22"/>
              </w:rPr>
              <w:t>标志未应用在产品上；投标等情况使用认证证书。</w:t>
            </w:r>
          </w:p>
        </w:tc>
        <w:tc>
          <w:tcPr>
            <w:tcW w:w="96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160" w:type="dxa"/>
          </w:tcPr>
          <w:p>
            <w:pPr>
              <w:adjustRightInd w:val="0"/>
              <w:snapToGrid w:val="0"/>
              <w:spacing w:line="240" w:lineRule="auto"/>
              <w:ind w:right="105" w:rightChars="50"/>
              <w:textAlignment w:val="baseline"/>
              <w:rPr>
                <w:rFonts w:ascii="宋体" w:hAnsi="宋体" w:cs="Arial"/>
                <w:spacing w:val="-6"/>
                <w:szCs w:val="21"/>
              </w:rPr>
            </w:pPr>
            <w:r>
              <w:rPr>
                <w:rFonts w:hint="eastAsia" w:ascii="宋体" w:hAnsi="宋体" w:cs="Arial"/>
                <w:spacing w:val="-6"/>
                <w:szCs w:val="21"/>
              </w:rPr>
              <w:t>国家/地方监督抽查情况；顾客满意、相关方投诉及处理情况</w:t>
            </w:r>
          </w:p>
        </w:tc>
        <w:tc>
          <w:tcPr>
            <w:tcW w:w="1209" w:type="dxa"/>
          </w:tcPr>
          <w:p>
            <w:pPr>
              <w:adjustRightInd w:val="0"/>
              <w:snapToGrid w:val="0"/>
              <w:spacing w:line="360" w:lineRule="auto"/>
              <w:ind w:right="105" w:rightChars="50"/>
              <w:textAlignment w:val="baseline"/>
              <w:rPr>
                <w:rFonts w:ascii="宋体" w:hAnsi="宋体" w:cs="Arial"/>
                <w:spacing w:val="-6"/>
                <w:szCs w:val="21"/>
              </w:rPr>
            </w:pPr>
          </w:p>
        </w:tc>
        <w:tc>
          <w:tcPr>
            <w:tcW w:w="10371" w:type="dxa"/>
          </w:tcPr>
          <w:p>
            <w:pPr>
              <w:spacing w:line="360" w:lineRule="auto"/>
              <w:ind w:firstLine="420" w:firstLineChars="200"/>
              <w:rPr>
                <w:szCs w:val="22"/>
              </w:rPr>
            </w:pPr>
            <w:r>
              <w:rPr>
                <w:rFonts w:hint="eastAsia"/>
                <w:szCs w:val="22"/>
              </w:rPr>
              <w:t>顾客满意：2022年7月2日通过顾客满意度调查进行监测，经统计分析，顾客满意度为96.75分。</w:t>
            </w:r>
          </w:p>
          <w:p>
            <w:pPr>
              <w:spacing w:line="360" w:lineRule="auto"/>
              <w:ind w:firstLine="420" w:firstLineChars="200"/>
              <w:rPr>
                <w:szCs w:val="22"/>
              </w:rPr>
            </w:pPr>
            <w:r>
              <w:rPr>
                <w:rFonts w:hint="eastAsia"/>
                <w:szCs w:val="22"/>
              </w:rPr>
              <w:t>自公司成立以来，未受到上级主管部门有关质量、环保、职业健康安全的行政处罚。未发生相关方投诉。</w:t>
            </w:r>
          </w:p>
          <w:p>
            <w:pPr>
              <w:adjustRightInd w:val="0"/>
              <w:snapToGrid w:val="0"/>
              <w:spacing w:beforeLines="30" w:afterLines="30" w:line="288" w:lineRule="auto"/>
              <w:ind w:right="105" w:rightChars="50" w:firstLine="420" w:firstLineChars="200"/>
              <w:textAlignment w:val="baseline"/>
              <w:rPr>
                <w:rFonts w:hint="eastAsia"/>
                <w:szCs w:val="22"/>
              </w:rPr>
            </w:pPr>
            <w:r>
              <w:rPr>
                <w:rFonts w:hint="eastAsia"/>
                <w:szCs w:val="22"/>
              </w:rPr>
              <w:t>暂时没有国家/地方抽查情况。</w:t>
            </w:r>
          </w:p>
          <w:p>
            <w:pPr>
              <w:adjustRightInd w:val="0"/>
              <w:snapToGrid w:val="0"/>
              <w:spacing w:beforeLines="30" w:afterLines="30" w:line="288" w:lineRule="auto"/>
              <w:ind w:right="105" w:rightChars="50" w:firstLine="420" w:firstLineChars="200"/>
              <w:textAlignment w:val="baseline"/>
            </w:pPr>
            <w:r>
              <w:rPr>
                <w:rFonts w:hint="eastAsia"/>
                <w:szCs w:val="22"/>
              </w:rPr>
              <w:t>目前没有相关行政主管部门的检查处罚，在审核现场也未发现抽查、相关方投诉等情况。</w:t>
            </w:r>
          </w:p>
        </w:tc>
        <w:tc>
          <w:tcPr>
            <w:tcW w:w="969" w:type="dxa"/>
          </w:tcPr>
          <w:p>
            <w:r>
              <w:rPr>
                <w:rFonts w:hint="eastAsia"/>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411118"/>
    <w:rsid w:val="0001470C"/>
    <w:rsid w:val="000221F4"/>
    <w:rsid w:val="00041CC5"/>
    <w:rsid w:val="0006451E"/>
    <w:rsid w:val="000956E7"/>
    <w:rsid w:val="000C0587"/>
    <w:rsid w:val="001168D5"/>
    <w:rsid w:val="00134774"/>
    <w:rsid w:val="00154A69"/>
    <w:rsid w:val="00187074"/>
    <w:rsid w:val="001B48B5"/>
    <w:rsid w:val="001D2C55"/>
    <w:rsid w:val="00201C83"/>
    <w:rsid w:val="00202837"/>
    <w:rsid w:val="00227693"/>
    <w:rsid w:val="002419B1"/>
    <w:rsid w:val="002860ED"/>
    <w:rsid w:val="00330F5E"/>
    <w:rsid w:val="00331C2D"/>
    <w:rsid w:val="00347643"/>
    <w:rsid w:val="00366843"/>
    <w:rsid w:val="00367D29"/>
    <w:rsid w:val="003A06A9"/>
    <w:rsid w:val="003C6CBA"/>
    <w:rsid w:val="003D12EA"/>
    <w:rsid w:val="003D27E4"/>
    <w:rsid w:val="00411118"/>
    <w:rsid w:val="00442553"/>
    <w:rsid w:val="004978F6"/>
    <w:rsid w:val="004A07DE"/>
    <w:rsid w:val="005067B5"/>
    <w:rsid w:val="00510D6D"/>
    <w:rsid w:val="00572BD1"/>
    <w:rsid w:val="00577F57"/>
    <w:rsid w:val="005E6966"/>
    <w:rsid w:val="005F552B"/>
    <w:rsid w:val="00614B2C"/>
    <w:rsid w:val="00664F7C"/>
    <w:rsid w:val="00666CBF"/>
    <w:rsid w:val="006A059A"/>
    <w:rsid w:val="00716920"/>
    <w:rsid w:val="00755672"/>
    <w:rsid w:val="007711F6"/>
    <w:rsid w:val="00787597"/>
    <w:rsid w:val="007C0322"/>
    <w:rsid w:val="0081143B"/>
    <w:rsid w:val="00812AB9"/>
    <w:rsid w:val="008203DA"/>
    <w:rsid w:val="008310C4"/>
    <w:rsid w:val="00893A65"/>
    <w:rsid w:val="008F0FD6"/>
    <w:rsid w:val="00967D92"/>
    <w:rsid w:val="009B05C6"/>
    <w:rsid w:val="009F2C40"/>
    <w:rsid w:val="00A13D87"/>
    <w:rsid w:val="00A44272"/>
    <w:rsid w:val="00A84533"/>
    <w:rsid w:val="00AE72AE"/>
    <w:rsid w:val="00B86457"/>
    <w:rsid w:val="00B915F8"/>
    <w:rsid w:val="00BB0542"/>
    <w:rsid w:val="00C23073"/>
    <w:rsid w:val="00C6467E"/>
    <w:rsid w:val="00C81FDC"/>
    <w:rsid w:val="00C9520E"/>
    <w:rsid w:val="00CA5C45"/>
    <w:rsid w:val="00D101DD"/>
    <w:rsid w:val="00D16C86"/>
    <w:rsid w:val="00D473BD"/>
    <w:rsid w:val="00D74C26"/>
    <w:rsid w:val="00DB342D"/>
    <w:rsid w:val="00DF6B98"/>
    <w:rsid w:val="00E31E9A"/>
    <w:rsid w:val="00E42B8A"/>
    <w:rsid w:val="00E500CC"/>
    <w:rsid w:val="00E713F5"/>
    <w:rsid w:val="00E74A72"/>
    <w:rsid w:val="00EA0019"/>
    <w:rsid w:val="00EB3DCC"/>
    <w:rsid w:val="00F0214B"/>
    <w:rsid w:val="00F16025"/>
    <w:rsid w:val="00F65DB9"/>
    <w:rsid w:val="00F93F18"/>
    <w:rsid w:val="00FA0E4F"/>
    <w:rsid w:val="00FB59E1"/>
    <w:rsid w:val="00FD5291"/>
    <w:rsid w:val="1DFE15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unhideWhenUsed/>
    <w:qFormat/>
    <w:uiPriority w:val="99"/>
    <w:rPr>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正文文本 Char"/>
    <w:basedOn w:val="7"/>
    <w:link w:val="2"/>
    <w:semiHidden/>
    <w:qFormat/>
    <w:uiPriority w:val="99"/>
    <w:rPr>
      <w:rFonts w:ascii="Times New Roman" w:hAnsi="Times New Roman" w:eastAsia="宋体" w:cs="Times New Roman"/>
      <w:kern w:val="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5727</Words>
  <Characters>6018</Characters>
  <Lines>44</Lines>
  <Paragraphs>12</Paragraphs>
  <TotalTime>4</TotalTime>
  <ScaleCrop>false</ScaleCrop>
  <LinksUpToDate>false</LinksUpToDate>
  <CharactersWithSpaces>6087</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2022-10-26T08:56:54Z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9A487B6049774EC7B74B59A9824733C9</vt:lpwstr>
  </property>
  <property fmtid="{D5CDD505-2E9C-101B-9397-08002B2CF9AE}" pid="3" name="KSOProductBuildVer">
    <vt:lpwstr>2052-11.1.0.12759</vt:lpwstr>
  </property>
</Properties>
</file>