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121"/>
        <w:gridCol w:w="1060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07" w:type="dxa"/>
            <w:vAlign w:val="center"/>
          </w:tcPr>
          <w:p>
            <w:pPr>
              <w:rPr>
                <w:sz w:val="24"/>
                <w:szCs w:val="24"/>
              </w:rPr>
            </w:pPr>
            <w:r>
              <w:rPr>
                <w:rFonts w:hint="eastAsia"/>
                <w:sz w:val="24"/>
                <w:szCs w:val="24"/>
              </w:rPr>
              <w:t>受审核部门：</w:t>
            </w:r>
            <w:r>
              <w:rPr>
                <w:rFonts w:hint="eastAsia"/>
                <w:sz w:val="24"/>
                <w:szCs w:val="24"/>
                <w:lang w:eastAsia="zh-CN"/>
              </w:rPr>
              <w:t>生产部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黄清红</w:t>
            </w:r>
            <w:bookmarkEnd w:id="0"/>
            <w:r>
              <w:rPr>
                <w:rFonts w:hint="eastAsia"/>
                <w:sz w:val="24"/>
                <w:szCs w:val="24"/>
                <w:lang w:val="en-US" w:eastAsia="zh-CN"/>
              </w:rPr>
              <w:t xml:space="preserve">            </w:t>
            </w:r>
            <w:r>
              <w:rPr>
                <w:rFonts w:hint="eastAsia"/>
                <w:sz w:val="24"/>
                <w:szCs w:val="24"/>
              </w:rPr>
              <w:t>陪同人员：聂勇华</w:t>
            </w:r>
          </w:p>
        </w:tc>
        <w:tc>
          <w:tcPr>
            <w:tcW w:w="98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9" w:type="dxa"/>
            <w:vMerge w:val="continue"/>
            <w:vAlign w:val="center"/>
          </w:tcPr>
          <w:p/>
        </w:tc>
        <w:tc>
          <w:tcPr>
            <w:tcW w:w="1121" w:type="dxa"/>
            <w:vMerge w:val="continue"/>
            <w:vAlign w:val="center"/>
          </w:tcPr>
          <w:p/>
        </w:tc>
        <w:tc>
          <w:tcPr>
            <w:tcW w:w="10607" w:type="dxa"/>
            <w:vAlign w:val="center"/>
          </w:tcPr>
          <w:p>
            <w:pPr>
              <w:spacing w:before="120"/>
            </w:pPr>
            <w:r>
              <w:rPr>
                <w:rFonts w:hint="eastAsia"/>
                <w:sz w:val="24"/>
                <w:szCs w:val="24"/>
              </w:rPr>
              <w:t>审核员：</w:t>
            </w:r>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1" w:name="审核日期"/>
            <w:r>
              <w:rPr>
                <w:rFonts w:hint="eastAsia"/>
                <w:sz w:val="24"/>
                <w:szCs w:val="24"/>
              </w:rPr>
              <w:t>2022年10月25日</w:t>
            </w:r>
            <w:bookmarkEnd w:id="1"/>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9" w:type="dxa"/>
            <w:vMerge w:val="continue"/>
            <w:vAlign w:val="center"/>
          </w:tcPr>
          <w:p/>
        </w:tc>
        <w:tc>
          <w:tcPr>
            <w:tcW w:w="1121" w:type="dxa"/>
            <w:vMerge w:val="continue"/>
            <w:vAlign w:val="center"/>
          </w:tcPr>
          <w:p/>
        </w:tc>
        <w:tc>
          <w:tcPr>
            <w:tcW w:w="10607" w:type="dxa"/>
            <w:vAlign w:val="center"/>
          </w:tcPr>
          <w:p>
            <w:pPr>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Q：5.3组织的岗位、职责和权限、6.2质量目标、7.1.3基础设施、7.1.4过程运行环境、8.1运行策划和控制、8.5.1生产过程控制</w:t>
            </w:r>
          </w:p>
          <w:p>
            <w:pPr>
              <w:rPr>
                <w:rFonts w:hint="eastAsia"/>
                <w:sz w:val="24"/>
                <w:szCs w:val="24"/>
              </w:rPr>
            </w:pPr>
            <w:r>
              <w:rPr>
                <w:rFonts w:hint="eastAsia" w:ascii="宋体" w:hAnsi="宋体" w:eastAsia="宋体" w:cs="Arial"/>
                <w:color w:val="auto"/>
                <w:spacing w:val="-6"/>
                <w:sz w:val="21"/>
                <w:szCs w:val="21"/>
                <w:lang w:val="en-US" w:eastAsia="zh-CN"/>
              </w:rPr>
              <w:t>E/O：5.3组织的岗位、职责和权限、6.2环境/职业健康安全目标及措施策划、6.1.2环境因素/危险源辨识与评价识别与评价、6.1.3合规义务</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9.1.2合规性评价、</w:t>
            </w:r>
            <w:r>
              <w:rPr>
                <w:rFonts w:hint="eastAsia" w:ascii="宋体" w:hAnsi="宋体" w:cs="Arial"/>
                <w:color w:val="auto"/>
                <w:spacing w:val="-6"/>
                <w:sz w:val="21"/>
                <w:szCs w:val="21"/>
                <w:lang w:val="en-US" w:eastAsia="zh-CN"/>
              </w:rPr>
              <w:t>6.1.4控制措施的策划、</w:t>
            </w:r>
            <w:r>
              <w:rPr>
                <w:rFonts w:hint="eastAsia" w:ascii="宋体" w:hAnsi="宋体" w:eastAsia="宋体" w:cs="Arial"/>
                <w:color w:val="auto"/>
                <w:spacing w:val="-6"/>
                <w:sz w:val="21"/>
                <w:szCs w:val="21"/>
                <w:lang w:val="en-US" w:eastAsia="zh-CN"/>
              </w:rPr>
              <w:t>8.1运行策划和控制、8.2应急准备和响应</w:t>
            </w:r>
          </w:p>
        </w:tc>
        <w:tc>
          <w:tcPr>
            <w:tcW w:w="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组织的岗位、职责和权限</w:t>
            </w:r>
          </w:p>
        </w:tc>
        <w:tc>
          <w:tcPr>
            <w:tcW w:w="1121" w:type="dxa"/>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Q</w:t>
            </w:r>
            <w:r>
              <w:rPr>
                <w:rFonts w:hint="eastAsia" w:ascii="宋体" w:hAnsi="宋体" w:cs="Arial"/>
                <w:spacing w:val="-6"/>
                <w:sz w:val="21"/>
                <w:szCs w:val="21"/>
                <w:lang w:val="en-US" w:eastAsia="zh-CN"/>
              </w:rPr>
              <w:t>EO</w:t>
            </w:r>
            <w:r>
              <w:rPr>
                <w:rFonts w:hint="eastAsia" w:ascii="宋体" w:hAnsi="宋体" w:cs="Arial"/>
                <w:spacing w:val="-6"/>
                <w:sz w:val="21"/>
                <w:szCs w:val="21"/>
              </w:rPr>
              <w:t>:5.3</w:t>
            </w:r>
          </w:p>
        </w:tc>
        <w:tc>
          <w:tcPr>
            <w:tcW w:w="10607"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生产部现有人员25人，其中主任1人，下设下料、冲压、折弯、焊接、喷涂、包装等班组；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主要负责：</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生产工作环境和基础设施的控制、环保治理设施的控制；</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产品实现的策划、生产服务提供控制；</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环境因素/危险源辨识与风险评价、环境/职业健康安全的运行控制、应急准备和响应控制。</w:t>
            </w:r>
          </w:p>
        </w:tc>
        <w:tc>
          <w:tcPr>
            <w:tcW w:w="982"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rPr>
              <w:t>目标</w:t>
            </w:r>
          </w:p>
        </w:tc>
        <w:tc>
          <w:tcPr>
            <w:tcW w:w="1121" w:type="dxa"/>
            <w:vAlign w:val="top"/>
          </w:tcPr>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6.2</w:t>
            </w:r>
          </w:p>
        </w:tc>
        <w:tc>
          <w:tcPr>
            <w:tcW w:w="10607"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color w:val="auto"/>
                <w:spacing w:val="-6"/>
                <w:sz w:val="21"/>
                <w:szCs w:val="21"/>
                <w:lang w:val="en-US" w:eastAsia="zh-CN"/>
              </w:rPr>
            </w:pPr>
            <w:r>
              <w:rPr>
                <w:rFonts w:hint="eastAsia" w:ascii="Times New Roman" w:hAnsi="Times New Roman" w:eastAsia="宋体" w:cs="Times New Roman"/>
                <w:szCs w:val="22"/>
                <w:lang w:val="en-US" w:eastAsia="zh-CN"/>
              </w:rPr>
              <w:t>查见“目标分解考核表”，显示对各部门进行了目标分解，并制定实施措施，</w:t>
            </w:r>
            <w:r>
              <w:rPr>
                <w:rFonts w:hint="eastAsia" w:ascii="宋体" w:hAnsi="宋体" w:eastAsia="宋体" w:cs="Arial"/>
                <w:color w:val="auto"/>
                <w:spacing w:val="-6"/>
                <w:sz w:val="21"/>
                <w:szCs w:val="21"/>
                <w:lang w:val="en-US" w:eastAsia="zh-CN"/>
              </w:rPr>
              <w:t>见生产部的目标为：</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产品出厂合格率100%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生产工艺执行率100%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生产设备设施完好率97%以上</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火灾\触电事故为0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合理处置固体废弃物</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固废分类处置率100%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员工重大伤亡事故为零、职业病发病率为0</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厂界噪声达标排放（≤65dB（昼）、≤55dB（夜）。</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保留有</w:t>
            </w:r>
            <w:r>
              <w:rPr>
                <w:rFonts w:hint="default" w:ascii="宋体" w:hAnsi="宋体" w:eastAsia="宋体" w:cs="Arial"/>
                <w:color w:val="auto"/>
                <w:spacing w:val="-6"/>
                <w:sz w:val="21"/>
                <w:szCs w:val="21"/>
                <w:lang w:val="en-US" w:eastAsia="zh-CN"/>
              </w:rPr>
              <w:t>公司的环境和安全管理方案和控制措施</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ascii="宋体" w:hAnsi="宋体" w:eastAsia="宋体" w:cs="Arial"/>
                <w:color w:val="auto"/>
                <w:spacing w:val="-6"/>
                <w:kern w:val="2"/>
                <w:sz w:val="21"/>
                <w:szCs w:val="21"/>
                <w:highlight w:val="none"/>
                <w:lang w:val="en-US" w:eastAsia="zh-CN" w:bidi="ar-SA"/>
              </w:rPr>
            </w:pPr>
            <w:r>
              <w:rPr>
                <w:rFonts w:hint="eastAsia" w:ascii="Times New Roman" w:hAnsi="Times New Roman" w:eastAsia="宋体" w:cs="Times New Roman"/>
                <w:szCs w:val="22"/>
                <w:lang w:val="en-US" w:eastAsia="zh-CN"/>
              </w:rPr>
              <w:t>保留“目标分解考核表”，半年考核，2022年1-6月目标均已完成。</w:t>
            </w:r>
          </w:p>
        </w:tc>
        <w:tc>
          <w:tcPr>
            <w:tcW w:w="982"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rPr>
              <w:t>环境因素</w:t>
            </w:r>
            <w:r>
              <w:rPr>
                <w:rFonts w:hint="eastAsia" w:ascii="宋体" w:hAnsi="宋体"/>
                <w:b w:val="0"/>
                <w:bCs w:val="0"/>
                <w:sz w:val="21"/>
                <w:szCs w:val="21"/>
                <w:lang w:val="en-US" w:eastAsia="zh-CN"/>
              </w:rPr>
              <w:t>/</w:t>
            </w:r>
            <w:r>
              <w:rPr>
                <w:rFonts w:hint="eastAsia" w:ascii="宋体" w:hAnsi="宋体"/>
                <w:b w:val="0"/>
                <w:bCs w:val="0"/>
                <w:sz w:val="21"/>
                <w:szCs w:val="21"/>
              </w:rPr>
              <w:t>危险源</w:t>
            </w:r>
            <w:r>
              <w:rPr>
                <w:rFonts w:hint="eastAsia" w:ascii="宋体" w:hAnsi="宋体"/>
                <w:b w:val="0"/>
                <w:bCs w:val="0"/>
                <w:sz w:val="21"/>
                <w:szCs w:val="21"/>
                <w:lang w:val="en-US" w:eastAsia="zh-CN"/>
              </w:rPr>
              <w:t>辨识与评价</w:t>
            </w:r>
          </w:p>
          <w:p>
            <w:pPr>
              <w:keepNext w:val="0"/>
              <w:keepLines w:val="0"/>
              <w:pageBreakBefore w:val="0"/>
              <w:widowControl w:val="0"/>
              <w:kinsoku/>
              <w:wordWrap/>
              <w:overflowPunct/>
              <w:topLinePunct w:val="0"/>
              <w:autoSpaceDE/>
              <w:autoSpaceDN/>
              <w:bidi w:val="0"/>
              <w:spacing w:after="0" w:line="360" w:lineRule="auto"/>
              <w:rPr>
                <w:rFonts w:ascii="Times New Roman" w:hAnsi="Times New Roman" w:eastAsia="宋体" w:cs="Times New Roman"/>
                <w:kern w:val="2"/>
                <w:sz w:val="21"/>
                <w:lang w:val="en-US" w:eastAsia="zh-CN" w:bidi="ar-SA"/>
              </w:rPr>
            </w:pPr>
            <w:r>
              <w:rPr>
                <w:rFonts w:hint="eastAsia" w:ascii="宋体" w:hAnsi="宋体"/>
                <w:b w:val="0"/>
                <w:bCs w:val="0"/>
                <w:sz w:val="21"/>
                <w:szCs w:val="21"/>
                <w:lang w:val="en-US" w:eastAsia="zh-CN"/>
              </w:rPr>
              <w:t>措施的策划</w:t>
            </w:r>
          </w:p>
        </w:tc>
        <w:tc>
          <w:tcPr>
            <w:tcW w:w="1121"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rPr>
            </w:pPr>
            <w:r>
              <w:rPr>
                <w:rFonts w:hint="eastAsia" w:ascii="宋体" w:hAnsi="宋体"/>
                <w:b w:val="0"/>
                <w:bCs w:val="0"/>
                <w:sz w:val="21"/>
                <w:szCs w:val="21"/>
                <w:lang w:val="en-US" w:eastAsia="zh-CN"/>
              </w:rPr>
              <w:t>EO:</w:t>
            </w:r>
            <w:r>
              <w:rPr>
                <w:rFonts w:hint="eastAsia" w:ascii="宋体" w:hAnsi="宋体"/>
                <w:b w:val="0"/>
                <w:bCs w:val="0"/>
                <w:sz w:val="21"/>
                <w:szCs w:val="21"/>
              </w:rPr>
              <w:t>6.1.2</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6.1.4</w:t>
            </w:r>
          </w:p>
        </w:tc>
        <w:tc>
          <w:tcPr>
            <w:tcW w:w="10607" w:type="dxa"/>
            <w:vAlign w:val="top"/>
          </w:tcPr>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提供了环境因素和危险源识别评价与控制程序，无变化。</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color w:val="auto"/>
                <w:highlight w:val="none"/>
                <w:lang w:val="en-US" w:eastAsia="zh-CN"/>
              </w:rPr>
            </w:pPr>
            <w:r>
              <w:rPr>
                <w:rFonts w:hint="eastAsia" w:ascii="Times New Roman" w:hAnsi="Times New Roman" w:eastAsia="宋体" w:cs="Times New Roman"/>
                <w:szCs w:val="22"/>
                <w:lang w:val="en-US" w:eastAsia="zh-CN"/>
              </w:rPr>
              <w:t>查“环境因素辨识和评价登记表”，识别考虑了正常、异常、紧急，过去、现在、未来三种时态</w:t>
            </w:r>
            <w:r>
              <w:rPr>
                <w:rFonts w:hint="eastAsia"/>
                <w:color w:val="auto"/>
                <w:highlight w:val="none"/>
                <w:lang w:val="en-US" w:eastAsia="zh-CN"/>
              </w:rPr>
              <w:t>，能考虑到产品生命周期观点。</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color w:val="auto"/>
                <w:highlight w:val="none"/>
                <w:lang w:val="en-US" w:eastAsia="zh-CN"/>
              </w:rPr>
            </w:pPr>
            <w:r>
              <w:rPr>
                <w:rFonts w:hint="eastAsia"/>
                <w:color w:val="auto"/>
                <w:highlight w:val="none"/>
                <w:lang w:val="en-US" w:eastAsia="zh-CN"/>
              </w:rPr>
              <w:t>辨识的环境因素有与</w:t>
            </w:r>
            <w:r>
              <w:rPr>
                <w:rFonts w:hint="eastAsia" w:ascii="宋体" w:hAnsi="宋体" w:cs="Arial"/>
                <w:color w:val="auto"/>
                <w:spacing w:val="-6"/>
                <w:sz w:val="21"/>
                <w:szCs w:val="21"/>
                <w:lang w:val="en-US" w:eastAsia="zh-CN"/>
              </w:rPr>
              <w:t>下料、冲压、折弯、焊接、喷涂、包装</w:t>
            </w:r>
            <w:r>
              <w:rPr>
                <w:rFonts w:hint="eastAsia"/>
                <w:color w:val="auto"/>
                <w:highlight w:val="none"/>
                <w:lang w:val="en-US" w:eastAsia="zh-CN"/>
              </w:rPr>
              <w:t>有关过程或地点的环境因素火灾、噪声、废气、粉尘、废渣、固废、废水、电能消耗等；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color w:val="auto"/>
                <w:highlight w:val="none"/>
                <w:lang w:val="en-US" w:eastAsia="zh-CN"/>
              </w:rPr>
            </w:pPr>
            <w:r>
              <w:rPr>
                <w:rFonts w:hint="eastAsia"/>
                <w:color w:val="auto"/>
                <w:highlight w:val="none"/>
                <w:lang w:val="en-US" w:eastAsia="zh-CN"/>
              </w:rPr>
              <w:t>辨识基本合理。</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color w:val="auto"/>
                <w:highlight w:val="none"/>
                <w:lang w:val="en-US" w:eastAsia="zh-CN"/>
              </w:rPr>
            </w:pPr>
            <w:r>
              <w:rPr>
                <w:rFonts w:hint="eastAsia"/>
                <w:color w:val="auto"/>
                <w:highlight w:val="none"/>
                <w:lang w:val="en-US" w:eastAsia="zh-CN"/>
              </w:rPr>
              <w:t>采取多因子评价法进行了评价，</w:t>
            </w:r>
            <w:r>
              <w:rPr>
                <w:rFonts w:hint="eastAsia" w:ascii="Times New Roman" w:hAnsi="Times New Roman" w:eastAsia="宋体" w:cs="Times New Roman"/>
                <w:szCs w:val="22"/>
                <w:lang w:val="en-US" w:eastAsia="zh-CN"/>
              </w:rPr>
              <w:t>查到“重要环境因素清单”，</w:t>
            </w:r>
            <w:r>
              <w:rPr>
                <w:rFonts w:hint="eastAsia"/>
                <w:color w:val="auto"/>
                <w:highlight w:val="none"/>
                <w:lang w:val="en-US" w:eastAsia="zh-CN"/>
              </w:rPr>
              <w:t>经评价生产部的重要环境因素为：潜在火灾、粉尘/废气排放、噪声、固废、废水。</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color w:val="auto"/>
                <w:highlight w:val="none"/>
                <w:lang w:val="en-US" w:eastAsia="zh-CN"/>
              </w:rPr>
            </w:pPr>
            <w:r>
              <w:rPr>
                <w:rFonts w:hint="eastAsia"/>
                <w:color w:val="auto"/>
                <w:highlight w:val="none"/>
                <w:lang w:val="en-US" w:eastAsia="zh-CN"/>
              </w:rPr>
              <w:t>查“危险源识别及风险评价清单”，识别了办公活动和生产活动中的危险源，主要包括与</w:t>
            </w:r>
            <w:r>
              <w:rPr>
                <w:rFonts w:hint="eastAsia" w:ascii="宋体" w:hAnsi="宋体" w:cs="Arial"/>
                <w:color w:val="auto"/>
                <w:spacing w:val="-6"/>
                <w:sz w:val="21"/>
                <w:szCs w:val="21"/>
                <w:lang w:val="en-US" w:eastAsia="zh-CN"/>
              </w:rPr>
              <w:t>下料、冲压、折弯、焊接、喷涂、包装</w:t>
            </w:r>
            <w:r>
              <w:rPr>
                <w:rFonts w:hint="eastAsia"/>
                <w:color w:val="auto"/>
                <w:highlight w:val="none"/>
                <w:lang w:val="en-US" w:eastAsia="zh-CN"/>
              </w:rPr>
              <w:t>有关过程的：粉尘伤害、尘伤害、中暑、中毒、物体打击、机械伤害、高处坠落、交通伤害、触电、火灾等。</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color w:val="auto"/>
                <w:highlight w:val="none"/>
                <w:lang w:val="en-US" w:eastAsia="zh-CN"/>
              </w:rPr>
            </w:pPr>
            <w:r>
              <w:rPr>
                <w:rFonts w:hint="eastAsia"/>
                <w:color w:val="auto"/>
                <w:highlight w:val="none"/>
                <w:lang w:val="en-US" w:eastAsia="zh-CN"/>
              </w:rPr>
              <w:t>对识别出的危险源采取D=LEC进行评价，查见“不可接受风险的危险源清单”，评价出生产部重大危险源包括：触电、火灾、机械伤害、听力损害、人身伤害、吸入性伤害。</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color w:val="auto"/>
                <w:highlight w:val="none"/>
                <w:lang w:val="en-US" w:eastAsia="zh-CN"/>
              </w:rPr>
            </w:pPr>
            <w:r>
              <w:rPr>
                <w:rFonts w:hint="eastAsia"/>
                <w:color w:val="auto"/>
                <w:highlight w:val="none"/>
                <w:lang w:val="en-US" w:eastAsia="zh-CN"/>
              </w:rPr>
              <w:t>对重要环境因素和重大危险源的主要控制措施进行了策划：执行管理方案、配备消防器材、日常检查、日常培训教育等运行控制措施等。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重大环境因素：潜在火灾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噪声排放</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固体废弃物</w:t>
            </w:r>
            <w:r>
              <w:rPr>
                <w:rFonts w:hint="eastAsia" w:ascii="宋体" w:hAnsi="宋体" w:eastAsia="宋体" w:cs="Arial"/>
                <w:color w:val="auto"/>
                <w:spacing w:val="-6"/>
                <w:sz w:val="21"/>
                <w:szCs w:val="21"/>
                <w:highlight w:val="none"/>
                <w:lang w:val="en-US" w:eastAsia="zh-CN"/>
              </w:rPr>
              <w:t>、粉尘/废气排放、废水排放</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固体废物排放</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一般固废集中收集外售；危废交由有资质的单位处理；</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粉尘/废气排放——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除尘装置除尘，</w:t>
            </w:r>
            <w:r>
              <w:rPr>
                <w:rFonts w:hint="default" w:ascii="宋体" w:hAnsi="宋体" w:eastAsia="宋体" w:cs="Arial"/>
                <w:color w:val="auto"/>
                <w:spacing w:val="-6"/>
                <w:sz w:val="21"/>
                <w:szCs w:val="21"/>
                <w:highlight w:val="none"/>
                <w:lang w:val="en-US" w:eastAsia="zh-CN"/>
              </w:rPr>
              <w:t>严格执行操作规程,作业时配戴好个人防护用品</w:t>
            </w:r>
            <w:r>
              <w:rPr>
                <w:rFonts w:hint="eastAsia" w:ascii="宋体" w:hAnsi="宋体" w:eastAsia="宋体" w:cs="Arial"/>
                <w:color w:val="auto"/>
                <w:spacing w:val="-6"/>
                <w:sz w:val="21"/>
                <w:szCs w:val="21"/>
                <w:highlight w:val="none"/>
                <w:lang w:val="en-US" w:eastAsia="zh-CN"/>
              </w:rPr>
              <w:t>，</w:t>
            </w:r>
            <w:r>
              <w:rPr>
                <w:rFonts w:hint="default" w:ascii="宋体" w:hAnsi="宋体" w:eastAsia="宋体" w:cs="Arial"/>
                <w:color w:val="auto"/>
                <w:spacing w:val="-6"/>
                <w:sz w:val="21"/>
                <w:szCs w:val="21"/>
                <w:highlight w:val="none"/>
                <w:lang w:val="en-US" w:eastAsia="zh-CN"/>
              </w:rPr>
              <w:t>保持作业场所的通风。</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噪声排放——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选用低噪声设备，合理布局，隔声减震，厂房隔音，个人防护用品使用；</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废水排放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经污水沉淀池沉淀后，通过MBR污水处理装置处理后达标排放；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潜在火灾——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default"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不可接受风险：</w:t>
            </w:r>
            <w:r>
              <w:rPr>
                <w:rFonts w:hint="eastAsia"/>
                <w:color w:val="auto"/>
                <w:highlight w:val="none"/>
                <w:lang w:val="en-US" w:eastAsia="zh-CN"/>
              </w:rPr>
              <w:t>触电、火灾、机械伤害、听力损害、人身伤害、吸入性伤害等</w:t>
            </w:r>
            <w:r>
              <w:rPr>
                <w:rFonts w:hint="default"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通用控制措施——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制定目标、指标，编制运行控制文件，运行控制；设置警示标志标识；</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定期监测职业危害因素并公示；一旦发生按相关应急预案执行。</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火灾</w:t>
            </w:r>
            <w:r>
              <w:rPr>
                <w:rFonts w:hint="eastAsia" w:ascii="宋体" w:hAnsi="宋体" w:cs="Arial"/>
                <w:color w:val="auto"/>
                <w:spacing w:val="-6"/>
                <w:sz w:val="21"/>
                <w:szCs w:val="21"/>
                <w:highlight w:val="none"/>
                <w:lang w:val="en-US" w:eastAsia="zh-CN"/>
              </w:rPr>
              <w:t>、触电</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机械伤害</w:t>
            </w:r>
            <w:r>
              <w:rPr>
                <w:rFonts w:hint="eastAsia" w:ascii="宋体" w:hAnsi="宋体" w:cs="Arial"/>
                <w:color w:val="auto"/>
                <w:spacing w:val="-6"/>
                <w:sz w:val="21"/>
                <w:szCs w:val="21"/>
                <w:highlight w:val="none"/>
                <w:lang w:val="en-US" w:eastAsia="zh-CN"/>
              </w:rPr>
              <w:t>、人身伤害</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设备设施安全防护、加强安全教育，按章作业，加强工艺纪律检查，使用个人防护用品</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职业病（</w:t>
            </w:r>
            <w:r>
              <w:rPr>
                <w:rFonts w:hint="eastAsia"/>
                <w:color w:val="auto"/>
                <w:highlight w:val="none"/>
                <w:lang w:val="en-US" w:eastAsia="zh-CN"/>
              </w:rPr>
              <w:t>听力损害、吸入性伤害</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textAlignment w:val="baseline"/>
              <w:rPr>
                <w:rFonts w:hint="eastAsia" w:ascii="宋体" w:hAnsi="宋体" w:eastAsia="宋体" w:cs="Arial"/>
                <w:color w:val="auto"/>
                <w:spacing w:val="-6"/>
                <w:sz w:val="21"/>
                <w:szCs w:val="21"/>
                <w:highlight w:val="none"/>
                <w:lang w:val="en-US" w:eastAsia="zh-CN"/>
              </w:rPr>
            </w:pPr>
            <w:r>
              <w:rPr>
                <w:rFonts w:hint="default" w:ascii="宋体" w:hAnsi="宋体" w:eastAsia="宋体" w:cs="Arial"/>
                <w:color w:val="auto"/>
                <w:spacing w:val="-6"/>
                <w:sz w:val="21"/>
                <w:szCs w:val="21"/>
                <w:highlight w:val="none"/>
                <w:lang w:val="en-US" w:eastAsia="zh-CN"/>
              </w:rPr>
              <w:t>配置符合要求的劳保防护用品；定期给员工进行职业健康安全体检</w:t>
            </w:r>
            <w:r>
              <w:rPr>
                <w:rFonts w:hint="eastAsia" w:ascii="宋体" w:hAnsi="宋体" w:eastAsia="宋体" w:cs="Arial"/>
                <w:color w:val="auto"/>
                <w:spacing w:val="-6"/>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制订了环境以及安全的“目标与管理方案”，明确了控制措施、时间要求、责任部门、责任人等。</w:t>
            </w:r>
          </w:p>
        </w:tc>
        <w:tc>
          <w:tcPr>
            <w:tcW w:w="982"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spacing w:after="0" w:line="360" w:lineRule="auto"/>
              <w:rPr>
                <w:rFonts w:hint="eastAsia"/>
                <w:color w:val="auto"/>
                <w:lang w:val="en-US" w:eastAsia="zh-CN"/>
              </w:rPr>
            </w:pPr>
            <w:r>
              <w:rPr>
                <w:rFonts w:hint="eastAsia"/>
                <w:color w:val="auto"/>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合规性评价</w:t>
            </w:r>
          </w:p>
        </w:tc>
        <w:tc>
          <w:tcPr>
            <w:tcW w:w="1121" w:type="dxa"/>
            <w:vAlign w:val="top"/>
          </w:tcPr>
          <w:p>
            <w:pPr>
              <w:keepNext w:val="0"/>
              <w:keepLines w:val="0"/>
              <w:pageBreakBefore w:val="0"/>
              <w:widowControl w:val="0"/>
              <w:kinsoku/>
              <w:wordWrap/>
              <w:overflowPunct/>
              <w:topLinePunct w:val="0"/>
              <w:autoSpaceDE/>
              <w:autoSpaceDN/>
              <w:bidi w:val="0"/>
              <w:spacing w:after="0" w:line="360" w:lineRule="auto"/>
              <w:jc w:val="center"/>
              <w:rPr>
                <w:rFonts w:hint="eastAsia"/>
                <w:color w:val="auto"/>
                <w:lang w:val="en-US" w:eastAsia="zh-CN"/>
              </w:rPr>
            </w:pPr>
            <w:r>
              <w:rPr>
                <w:rFonts w:hint="eastAsia"/>
                <w:color w:val="auto"/>
                <w:lang w:val="en-US" w:eastAsia="zh-CN"/>
              </w:rPr>
              <w:t>EO:6.1.3</w:t>
            </w:r>
          </w:p>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9.1.2</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查见“环境和职业健康安全法律法规控制程序”，有效文件，无变化；</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查见“职业健康安全法律法规及其他要求清单”，收集了中华人民共和国民法典</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中华人民共和国循环经济促进法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中华人民共和国消防法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中华人民共和国消费者权益保护法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中华人民共和国招标投标法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中华人民共和国大气污染防治法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中华人民共和国固体废物污染环境防治法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中华人民共和国环境保护法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中华人民共和国环境噪声污染防治法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中华人民共和国安全生产法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中华人民共和国公司法</w:t>
            </w:r>
            <w:r>
              <w:rPr>
                <w:rFonts w:hint="eastAsia" w:cs="Times New Roman"/>
                <w:color w:val="auto"/>
                <w:szCs w:val="22"/>
                <w:highlight w:val="none"/>
                <w:lang w:val="en-US" w:eastAsia="zh-CN"/>
              </w:rPr>
              <w:t>、</w:t>
            </w:r>
            <w:r>
              <w:rPr>
                <w:rFonts w:hint="eastAsia" w:ascii="Times New Roman" w:hAnsi="Times New Roman" w:eastAsia="宋体" w:cs="Times New Roman"/>
                <w:color w:val="auto"/>
                <w:szCs w:val="22"/>
                <w:highlight w:val="none"/>
                <w:lang w:val="en-US" w:eastAsia="zh-CN"/>
              </w:rPr>
              <w:t>中华人民共和国道路交通安全法</w:t>
            </w:r>
            <w:r>
              <w:rPr>
                <w:rFonts w:hint="eastAsia" w:cs="Times New Roman"/>
                <w:color w:val="auto"/>
                <w:szCs w:val="22"/>
                <w:highlight w:val="none"/>
                <w:lang w:val="en-US" w:eastAsia="zh-CN"/>
              </w:rPr>
              <w:t>、大气污染物综合排放标准、消防安全标志设置要求法律法规、条例和标准</w:t>
            </w:r>
            <w:r>
              <w:rPr>
                <w:rFonts w:hint="eastAsia" w:ascii="Times New Roman" w:hAnsi="Times New Roman" w:eastAsia="宋体" w:cs="Times New Roman"/>
                <w:color w:val="auto"/>
                <w:szCs w:val="22"/>
                <w:highlight w:val="none"/>
                <w:lang w:val="en-US" w:eastAsia="zh-CN"/>
              </w:rPr>
              <w:t>等1</w:t>
            </w:r>
            <w:r>
              <w:rPr>
                <w:rFonts w:hint="eastAsia" w:cs="Times New Roman"/>
                <w:color w:val="auto"/>
                <w:szCs w:val="22"/>
                <w:highlight w:val="none"/>
                <w:lang w:val="en-US" w:eastAsia="zh-CN"/>
              </w:rPr>
              <w:t>73</w:t>
            </w:r>
            <w:r>
              <w:rPr>
                <w:rFonts w:hint="eastAsia" w:ascii="Times New Roman" w:hAnsi="Times New Roman" w:eastAsia="宋体" w:cs="Times New Roman"/>
                <w:color w:val="auto"/>
                <w:szCs w:val="22"/>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合规性评价报告”，2022年8月3日开展了年度的合规性评价工作，评价结论：公司对适用的法律、法规均已遵守，公司未发生任何破坏环境的现象及安全事故现象；未发生任何顾客、周边居民因环境、安全事故而投诉的现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szCs w:val="22"/>
                <w:highlight w:val="none"/>
                <w:lang w:val="en-US" w:eastAsia="zh-CN"/>
              </w:rPr>
              <w:t>保留有评价记录。</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基础设施</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p>
        </w:tc>
        <w:tc>
          <w:tcPr>
            <w:tcW w:w="1121"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Q:7.1.3</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策划了“设备控制程序”，有效文件；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查见“主要生产设备一览表”，主要设备有：剪板机、压力机、折弯机、空气压缩机、铝合金切割机、电焊机、全自动喷涂流水线、烤箱、行车等；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主要环保设备：除尘装置、污水处理装置、消防设施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未制定年度设备维修保养计划表，交流；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查见设备保养记录，每月对主要设备进行保养加油；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查见“设备保养、点检表”，明确了设备的保养项目和保养频率，每日点检并记录；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部分记录填写不及时，交流；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查见特种设备有行车、行车；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查见“桥门式起重机定期检验报告-无监控系统”；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使用登记证编号：赣CT20131002，检验日期2022.3.9，宜春市特种设备监督检验中心出具；检验结论合格；</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另查见：赣CT20141398、赣CT20131001、赣CT20090001、赣CT20090002的检验报告，均由宜春市特种设备监督检验中心出具；检验结论合格；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查见“场（厂）内专用机动车辆定期（首次）检验报告”；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使用登记证编号：车11赣CJ00035(22),宜春市特种设备监督检验中心出具；检验结论合格；检验日期：2022.3.22；检验依据TSG N0001-2017《场内专用机动车辆安全技术监察规程》。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“检定证书”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压力表—证书编号：Y20221720（0-1.6MPa），樟树市市场监督管理局计量站，有效期至2022年12月31日；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压力表—证书编号：Y20221905（0-2.5MPa），樟树市市场监督管理局计量站，有效期至2023年1月12日；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安全阀校验报告——编号DAQ2204849，宜春市特种设备监督检验中心出具，校验结果合格，下次校验时间2023.06.20.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heme="minorEastAsia" w:hAnsiTheme="minorEastAsia" w:eastAsiaTheme="minorEastAsia" w:cstheme="minorEastAsia"/>
                <w:color w:val="auto"/>
                <w:kern w:val="2"/>
                <w:sz w:val="21"/>
                <w:szCs w:val="22"/>
                <w:highlight w:val="yellow"/>
                <w:lang w:val="en-US" w:eastAsia="zh-CN" w:bidi="ar-SA"/>
              </w:rPr>
            </w:pPr>
            <w:r>
              <w:rPr>
                <w:rFonts w:hint="eastAsia" w:asciiTheme="minorEastAsia" w:hAnsiTheme="minorEastAsia" w:eastAsiaTheme="minorEastAsia" w:cstheme="minorEastAsia"/>
                <w:color w:val="auto"/>
                <w:highlight w:val="none"/>
                <w:lang w:val="en-US" w:eastAsia="zh-CN"/>
              </w:rPr>
              <w:t xml:space="preserve">安全阀校验报告——编号DAQ2205454，宜春市特种设备监督检验中心出具，校验结果合格，下次校验时间2023.07.06. </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highlight w:val="yellow"/>
                <w:lang w:val="en-US" w:eastAsia="zh-CN" w:bidi="ar-SA"/>
              </w:rPr>
            </w:pPr>
            <w:r>
              <w:rPr>
                <w:rFonts w:hint="eastAsia" w:asciiTheme="minorEastAsia" w:hAnsiTheme="minorEastAsia" w:eastAsiaTheme="minorEastAsia" w:cstheme="minor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 w:val="21"/>
                <w:szCs w:val="21"/>
              </w:rPr>
              <w:t>运行策划和控制</w:t>
            </w:r>
          </w:p>
        </w:tc>
        <w:tc>
          <w:tcPr>
            <w:tcW w:w="1121"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kern w:val="2"/>
                <w:sz w:val="21"/>
                <w:szCs w:val="21"/>
                <w:lang w:val="en-US" w:eastAsia="zh-CN" w:bidi="ar-SA"/>
              </w:rPr>
              <w:t>Q:</w:t>
            </w:r>
            <w:r>
              <w:rPr>
                <w:rFonts w:hint="eastAsia" w:asciiTheme="minorEastAsia" w:hAnsiTheme="minorEastAsia" w:eastAsiaTheme="minorEastAsia" w:cstheme="minorEastAsia"/>
                <w:spacing w:val="-6"/>
                <w:sz w:val="21"/>
                <w:szCs w:val="21"/>
              </w:rPr>
              <w:t>8.1</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公司策划了：</w:t>
            </w:r>
            <w:r>
              <w:rPr>
                <w:sz w:val="20"/>
              </w:rPr>
              <w:t>骨灰盒存放架、智能型骨灰盒存放架、无电智能骨灰存放架、福寿架、牌位架的生产、销售、售后服务（退换货、投诉处理）；太平柜、瞻仰台、解剖台、骨灰盒存放架远程及现场祭拜管理系统、骨灰盒存放架大数据云管理平台、骨灰盒存放架AI人工智能存放系统、骨灰盒存放架区块链加密系统、智慧殡葬管理系统、智慧寺院管理系统、计算机软硬件的销售、售后服务（退换货、投诉处理）</w:t>
            </w:r>
            <w:r>
              <w:rPr>
                <w:rFonts w:hint="eastAsia" w:ascii="Times New Roman" w:hAnsi="Times New Roman" w:eastAsia="宋体" w:cs="Times New Roman"/>
                <w:szCs w:val="22"/>
                <w:lang w:val="en-US" w:eastAsia="zh-CN"/>
              </w:rPr>
              <w:t>的过程：</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生产过程：</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lang w:val="en-US" w:eastAsia="zh-CN"/>
              </w:rPr>
            </w:pPr>
            <w:r>
              <w:rPr>
                <w:rFonts w:hint="eastAsia" w:ascii="Times New Roman" w:hAnsi="Times New Roman" w:eastAsia="宋体" w:cs="Times New Roman"/>
                <w:szCs w:val="22"/>
                <w:lang w:val="en-US" w:eastAsia="zh-CN"/>
              </w:rPr>
              <w:t>下料－冲压－折弯－焊接－喷涂－装配－成品检验－包装－入库</w:t>
            </w:r>
            <w:bookmarkStart w:id="2" w:name="_GoBack"/>
            <w:bookmarkEnd w:id="2"/>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经评审，公司销售、焊接、喷涂过程为需要确认的过程；</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查见“特殊过程确认单”，2022.9.4，公司从人员、设备、服务标准等方面对焊接过程、喷涂过程进行了确认；</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color w:val="0000FF"/>
                <w:szCs w:val="22"/>
                <w:lang w:val="en-US" w:eastAsia="zh-CN"/>
              </w:rPr>
            </w:pPr>
            <w:r>
              <w:rPr>
                <w:rFonts w:hint="eastAsia" w:ascii="Times New Roman" w:hAnsi="Times New Roman" w:eastAsia="宋体" w:cs="Times New Roman"/>
                <w:szCs w:val="22"/>
                <w:lang w:val="en-US" w:eastAsia="zh-CN"/>
              </w:rPr>
              <w:t>公司策划了生产工艺文件，查见：</w:t>
            </w:r>
            <w:r>
              <w:rPr>
                <w:rFonts w:hint="eastAsia" w:cs="Times New Roman"/>
                <w:szCs w:val="22"/>
                <w:lang w:val="en-US" w:eastAsia="zh-CN"/>
              </w:rPr>
              <w:t>剪板下料、打孔、冲压、折弯、焊接、喷塑/固化、组装作业指导书</w:t>
            </w:r>
            <w:r>
              <w:rPr>
                <w:rFonts w:hint="eastAsia" w:ascii="Times New Roman" w:hAnsi="Times New Roman" w:eastAsia="宋体" w:cs="Times New Roman"/>
                <w:color w:val="0000FF"/>
                <w:szCs w:val="22"/>
                <w:lang w:val="en-US" w:eastAsia="zh-CN"/>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执行标准：</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GB/T3325-2017金属家具通用技术条件；</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Q/1TXSB 001-2017福寿架（骨灰盒存放架）</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Q/1TXSB 002-2017铝合金骨灰盒存放架</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Q/1TXSB 003-2017压铸型骨灰盒存放架</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策划和配置了生产设备：</w:t>
            </w:r>
            <w:r>
              <w:rPr>
                <w:rFonts w:hint="eastAsia" w:asciiTheme="minorEastAsia" w:hAnsiTheme="minorEastAsia" w:eastAsiaTheme="minorEastAsia" w:cstheme="minorEastAsia"/>
                <w:color w:val="auto"/>
                <w:highlight w:val="none"/>
                <w:lang w:val="en-US" w:eastAsia="zh-CN"/>
              </w:rPr>
              <w:t>剪板机、压力机、折弯机、空气压缩机、铝合金切割机、电焊机、全自动喷涂流水线、烤箱、行车等</w:t>
            </w:r>
            <w:r>
              <w:rPr>
                <w:rFonts w:hint="eastAsia" w:ascii="Times New Roman" w:hAnsi="Times New Roman" w:eastAsia="宋体" w:cs="Times New Roman"/>
                <w:szCs w:val="22"/>
                <w:lang w:val="en-US" w:eastAsia="zh-CN"/>
              </w:rPr>
              <w:t>；</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cs="Times New Roman"/>
                <w:szCs w:val="22"/>
                <w:lang w:val="en-US" w:eastAsia="zh-CN"/>
              </w:rPr>
              <w:t>环保设备：除尘装置、污水处理装置、消防设备设施等；</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监测设备：</w:t>
            </w:r>
            <w:r>
              <w:rPr>
                <w:rFonts w:hint="eastAsia" w:ascii="Times New Roman" w:hAnsi="Times New Roman" w:eastAsia="宋体" w:cs="Times New Roman"/>
                <w:szCs w:val="22"/>
                <w:lang w:val="en-US" w:eastAsia="zh-CN"/>
              </w:rPr>
              <w:t>钢卷尺、游标卡尺等</w:t>
            </w:r>
            <w:r>
              <w:rPr>
                <w:rFonts w:hint="default" w:ascii="Times New Roman" w:hAnsi="Times New Roman" w:eastAsia="宋体" w:cs="Times New Roman"/>
                <w:szCs w:val="22"/>
                <w:lang w:val="en-US" w:eastAsia="zh-CN"/>
              </w:rPr>
              <w:t>。</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设备与监测设备基本满足公司产品和服务的需求。</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配备了相应的人员，其中特种作业人员持证上岗；</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策划了与</w:t>
            </w:r>
            <w:r>
              <w:rPr>
                <w:rFonts w:hint="default" w:ascii="Times New Roman" w:hAnsi="Times New Roman" w:eastAsia="宋体" w:cs="Times New Roman"/>
                <w:szCs w:val="22"/>
                <w:lang w:val="en-US" w:eastAsia="zh-CN"/>
              </w:rPr>
              <w:t>公司生产和服务相关记录</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主要有：</w:t>
            </w:r>
            <w:r>
              <w:rPr>
                <w:rFonts w:hint="eastAsia" w:ascii="Times New Roman" w:hAnsi="Times New Roman" w:eastAsia="宋体" w:cs="Times New Roman"/>
                <w:szCs w:val="22"/>
                <w:lang w:val="en-US" w:eastAsia="zh-CN"/>
              </w:rPr>
              <w:t>主要生产设备一览表、设备维护保养记录、设备点检表、检测记录、成品检验单</w:t>
            </w:r>
            <w:r>
              <w:rPr>
                <w:rFonts w:hint="default" w:ascii="Times New Roman" w:hAnsi="Times New Roman" w:eastAsia="宋体" w:cs="Times New Roman"/>
                <w:szCs w:val="22"/>
                <w:lang w:val="en-US" w:eastAsia="zh-CN"/>
              </w:rPr>
              <w:t>等</w:t>
            </w:r>
            <w:r>
              <w:rPr>
                <w:rFonts w:hint="eastAsia" w:ascii="Times New Roman" w:hAnsi="Times New Roman" w:eastAsia="宋体" w:cs="Times New Roman"/>
                <w:szCs w:val="22"/>
                <w:lang w:val="en-US" w:eastAsia="zh-CN"/>
              </w:rPr>
              <w:t>，</w:t>
            </w:r>
            <w:r>
              <w:rPr>
                <w:rFonts w:hint="default" w:ascii="Times New Roman" w:hAnsi="Times New Roman" w:eastAsia="宋体" w:cs="Times New Roman"/>
                <w:szCs w:val="22"/>
                <w:lang w:val="en-US" w:eastAsia="zh-CN"/>
              </w:rPr>
              <w:t>用于保持、保留有关</w:t>
            </w:r>
            <w:r>
              <w:rPr>
                <w:rFonts w:hint="eastAsia" w:ascii="Times New Roman" w:hAnsi="Times New Roman" w:eastAsia="宋体" w:cs="Times New Roman"/>
                <w:szCs w:val="22"/>
                <w:lang w:val="en-US" w:eastAsia="zh-CN"/>
              </w:rPr>
              <w:t>管理</w:t>
            </w:r>
            <w:r>
              <w:rPr>
                <w:rFonts w:hint="default" w:ascii="Times New Roman" w:hAnsi="Times New Roman" w:eastAsia="宋体" w:cs="Times New Roman"/>
                <w:szCs w:val="22"/>
                <w:lang w:val="en-US" w:eastAsia="zh-CN"/>
              </w:rPr>
              <w:t>体系运行要求的成文信息。</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策划的输出适合于组织的运行。</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kern w:val="2"/>
                <w:sz w:val="21"/>
                <w:lang w:val="en-US" w:eastAsia="zh-CN" w:bidi="ar-SA"/>
              </w:rPr>
            </w:pPr>
            <w:r>
              <w:rPr>
                <w:rFonts w:hint="eastAsia" w:ascii="Times New Roman" w:hAnsi="Times New Roman" w:eastAsia="宋体" w:cs="Times New Roman"/>
                <w:szCs w:val="22"/>
                <w:lang w:val="en-US" w:eastAsia="zh-CN"/>
              </w:rPr>
              <w:t>质量控制策划基本合理。</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pStyle w:val="12"/>
              <w:keepNext w:val="0"/>
              <w:keepLines w:val="0"/>
              <w:pageBreakBefore w:val="0"/>
              <w:widowControl w:val="0"/>
              <w:kinsoku/>
              <w:wordWrap/>
              <w:overflowPunct/>
              <w:topLinePunct w:val="0"/>
              <w:autoSpaceDE/>
              <w:autoSpaceDN/>
              <w:bidi w:val="0"/>
              <w:spacing w:before="0" w:after="0" w:line="360" w:lineRule="auto"/>
              <w:rPr>
                <w:rFonts w:hint="eastAsia" w:ascii="Times New Roman" w:hAnsi="Times New Roman" w:eastAsia="宋体" w:cs="Times New Roman"/>
                <w:bCs/>
                <w:spacing w:val="10"/>
                <w:kern w:val="2"/>
                <w:sz w:val="21"/>
                <w:lang w:val="en-US" w:eastAsia="zh-CN" w:bidi="ar-SA"/>
              </w:rPr>
            </w:pPr>
            <w:r>
              <w:rPr>
                <w:rFonts w:hint="eastAsia"/>
              </w:rPr>
              <w:t>生产和服务提供的控制</w:t>
            </w:r>
          </w:p>
        </w:tc>
        <w:tc>
          <w:tcPr>
            <w:tcW w:w="1121"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Q:</w:t>
            </w:r>
            <w:r>
              <w:rPr>
                <w:rFonts w:hint="eastAsia" w:asciiTheme="minorEastAsia" w:hAnsiTheme="minorEastAsia" w:eastAsiaTheme="minorEastAsia" w:cstheme="minorEastAsia"/>
                <w:spacing w:val="-6"/>
                <w:sz w:val="21"/>
                <w:szCs w:val="21"/>
              </w:rPr>
              <w:t>8.5.1</w:t>
            </w:r>
          </w:p>
        </w:tc>
        <w:tc>
          <w:tcPr>
            <w:tcW w:w="0" w:type="auto"/>
            <w:vAlign w:val="top"/>
          </w:tcPr>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heme="minorEastAsia" w:hAnsiTheme="minorEastAsia" w:eastAsiaTheme="minorEastAsia" w:cstheme="minorEastAsia"/>
                <w:highlight w:val="none"/>
                <w:lang w:val="en-US" w:eastAsia="zh-CN"/>
              </w:rPr>
              <w:t>现</w:t>
            </w:r>
            <w:r>
              <w:rPr>
                <w:rFonts w:hint="eastAsia" w:ascii="Times New Roman" w:hAnsi="Times New Roman" w:eastAsia="宋体" w:cs="Times New Roman"/>
                <w:szCs w:val="22"/>
                <w:lang w:val="en-US" w:eastAsia="zh-CN"/>
              </w:rPr>
              <w:t>场观察：车间张挂有设备安全操作规程，工位边上有设备点检表；设备运转情况良好；</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点检表记录不完整，交流；</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介绍说，根据公司制定的订货下单做出生产的安排；</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查见生产过程记录，抽见：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订货下单——流芳山牌位单穴，订货日期2022.6.7；内容明确了尺寸、数量、材质、工件部位及其规格要求和工艺要求；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订货下单——福寿架双穴，订货日期2022.10.9；内容明确了尺寸、数量、材质、工件部位及其规格要求和工艺要求；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订货下单——智能型骨灰盒存放架，订货日期2022.9.7；内容明确了尺寸、数量、材质、工件部位及其规格要求和工艺要求；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订货下单——单穴（无电NFC智能锁），订货日期2022.6.7；内容明确了尺寸、数量、材质、工件部位及其规格要求和工艺要求；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介绍说，工艺流转记录在过程检验单中体现，查见过程检验单中，记录了</w:t>
            </w:r>
            <w:r>
              <w:rPr>
                <w:rFonts w:hint="eastAsia" w:ascii="宋体" w:hAnsi="宋体" w:cs="Arial"/>
                <w:color w:val="auto"/>
                <w:spacing w:val="-6"/>
                <w:sz w:val="21"/>
                <w:szCs w:val="21"/>
                <w:lang w:val="en-US" w:eastAsia="zh-CN"/>
              </w:rPr>
              <w:t>下料、冲压、折弯、焊接、喷涂等各工序作业人员的生产记录及作业人员签名；</w:t>
            </w:r>
            <w:r>
              <w:rPr>
                <w:rFonts w:hint="eastAsia" w:asciiTheme="minorEastAsia" w:hAnsiTheme="minorEastAsia" w:eastAsiaTheme="minorEastAsia" w:cstheme="minorEastAsia"/>
                <w:color w:val="auto"/>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现场观察：</w:t>
            </w:r>
          </w:p>
          <w:p>
            <w:pPr>
              <w:spacing w:line="360" w:lineRule="auto"/>
              <w:ind w:firstLine="420" w:firstLineChars="200"/>
            </w:pPr>
            <w:r>
              <w:rPr>
                <w:rFonts w:hint="eastAsia"/>
              </w:rPr>
              <w:t>现场审核，抽查关键工序控制情况：</w:t>
            </w:r>
          </w:p>
          <w:p>
            <w:pPr>
              <w:spacing w:line="360" w:lineRule="auto"/>
              <w:ind w:firstLine="420" w:firstLineChars="200"/>
              <w:rPr>
                <w:highlight w:val="none"/>
              </w:rPr>
            </w:pPr>
            <w:r>
              <w:rPr>
                <w:rFonts w:hint="eastAsia"/>
                <w:highlight w:val="none"/>
                <w:lang w:eastAsia="zh-CN"/>
              </w:rPr>
              <w:t>下料</w:t>
            </w:r>
            <w:r>
              <w:rPr>
                <w:rFonts w:hint="eastAsia"/>
                <w:highlight w:val="none"/>
              </w:rPr>
              <w:t>工序，用剪板机对</w:t>
            </w:r>
            <w:r>
              <w:rPr>
                <w:rFonts w:hint="eastAsia"/>
                <w:highlight w:val="none"/>
                <w:lang w:eastAsia="zh-CN"/>
              </w:rPr>
              <w:t>镀锌板</w:t>
            </w:r>
            <w:r>
              <w:rPr>
                <w:rFonts w:hint="eastAsia"/>
                <w:highlight w:val="none"/>
              </w:rPr>
              <w:t>进行剪切下料，</w:t>
            </w:r>
            <w:r>
              <w:rPr>
                <w:rFonts w:hint="eastAsia"/>
                <w:highlight w:val="none"/>
                <w:lang w:eastAsia="zh-CN"/>
              </w:rPr>
              <w:t>利用切割机对铝合金框料进行切角；</w:t>
            </w:r>
            <w:r>
              <w:rPr>
                <w:rFonts w:hint="eastAsia"/>
                <w:highlight w:val="none"/>
              </w:rPr>
              <w:t>操作工按作业指导书和图纸进行加工并自检</w:t>
            </w:r>
            <w:r>
              <w:rPr>
                <w:rFonts w:hint="eastAsia"/>
                <w:highlight w:val="none"/>
                <w:lang w:eastAsia="zh-CN"/>
              </w:rPr>
              <w:t>，审核当日生产单号</w:t>
            </w:r>
            <w:r>
              <w:rPr>
                <w:rFonts w:hint="eastAsia"/>
                <w:highlight w:val="none"/>
                <w:lang w:val="en-US" w:eastAsia="zh-CN"/>
              </w:rPr>
              <w:t>1230；</w:t>
            </w:r>
          </w:p>
          <w:p>
            <w:pPr>
              <w:spacing w:line="360" w:lineRule="auto"/>
              <w:ind w:firstLine="420" w:firstLineChars="200"/>
              <w:rPr>
                <w:rFonts w:hint="eastAsia" w:eastAsia="宋体"/>
                <w:highlight w:val="none"/>
                <w:lang w:eastAsia="zh-CN"/>
              </w:rPr>
            </w:pPr>
            <w:r>
              <w:rPr>
                <w:rFonts w:hint="eastAsia"/>
                <w:highlight w:val="none"/>
                <w:lang w:eastAsia="zh-CN"/>
              </w:rPr>
              <w:t>冲压工序，审核当日现场无作业，介绍说，</w:t>
            </w:r>
            <w:r>
              <w:rPr>
                <w:rFonts w:hint="eastAsia"/>
                <w:highlight w:val="none"/>
              </w:rPr>
              <w:t>操作工按作业指导书和图纸用冲床进行冲压加工</w:t>
            </w:r>
            <w:r>
              <w:rPr>
                <w:rFonts w:hint="eastAsia"/>
                <w:highlight w:val="none"/>
                <w:lang w:eastAsia="zh-CN"/>
              </w:rPr>
              <w:t>；</w:t>
            </w:r>
          </w:p>
          <w:p>
            <w:pPr>
              <w:spacing w:line="360" w:lineRule="auto"/>
              <w:ind w:firstLine="420" w:firstLineChars="200"/>
              <w:rPr>
                <w:rFonts w:hint="eastAsia"/>
                <w:highlight w:val="none"/>
              </w:rPr>
            </w:pPr>
            <w:r>
              <w:rPr>
                <w:rFonts w:hint="eastAsia"/>
                <w:highlight w:val="none"/>
              </w:rPr>
              <w:t>折弯工序，用折弯机对</w:t>
            </w:r>
            <w:r>
              <w:rPr>
                <w:rFonts w:hint="eastAsia"/>
                <w:highlight w:val="none"/>
                <w:lang w:eastAsia="zh-CN"/>
              </w:rPr>
              <w:t>镀锌板</w:t>
            </w:r>
            <w:r>
              <w:rPr>
                <w:rFonts w:hint="eastAsia"/>
                <w:highlight w:val="none"/>
              </w:rPr>
              <w:t>进行折弯加工，操作工按作业指导书和图纸进行加工并自检</w:t>
            </w:r>
            <w:r>
              <w:rPr>
                <w:rFonts w:hint="eastAsia"/>
                <w:highlight w:val="none"/>
                <w:lang w:eastAsia="zh-CN"/>
              </w:rPr>
              <w:t>，审核当日生产单号</w:t>
            </w:r>
            <w:r>
              <w:rPr>
                <w:rFonts w:hint="eastAsia"/>
                <w:highlight w:val="none"/>
                <w:lang w:val="en-US" w:eastAsia="zh-CN"/>
              </w:rPr>
              <w:t>1223；</w:t>
            </w:r>
          </w:p>
          <w:p>
            <w:pPr>
              <w:spacing w:line="360" w:lineRule="auto"/>
              <w:ind w:firstLine="420" w:firstLineChars="200"/>
              <w:rPr>
                <w:rFonts w:hint="eastAsia" w:eastAsia="宋体"/>
                <w:highlight w:val="none"/>
                <w:lang w:eastAsia="zh-CN"/>
              </w:rPr>
            </w:pPr>
            <w:r>
              <w:rPr>
                <w:rFonts w:hint="eastAsia"/>
                <w:highlight w:val="none"/>
                <w:lang w:eastAsia="zh-CN"/>
              </w:rPr>
              <w:t>焊接工序，作业人员按照工艺要求</w:t>
            </w:r>
            <w:r>
              <w:rPr>
                <w:rFonts w:hint="eastAsia"/>
                <w:highlight w:val="none"/>
              </w:rPr>
              <w:t>和图纸</w:t>
            </w:r>
            <w:r>
              <w:rPr>
                <w:rFonts w:hint="eastAsia"/>
                <w:highlight w:val="none"/>
                <w:lang w:eastAsia="zh-CN"/>
              </w:rPr>
              <w:t>，使用二保焊机进行点焊，审核当日生产单号</w:t>
            </w:r>
            <w:r>
              <w:rPr>
                <w:rFonts w:hint="eastAsia"/>
                <w:highlight w:val="none"/>
                <w:lang w:val="en-US" w:eastAsia="zh-CN"/>
              </w:rPr>
              <w:t>1223；</w:t>
            </w:r>
          </w:p>
          <w:p>
            <w:pPr>
              <w:spacing w:line="360" w:lineRule="auto"/>
              <w:ind w:firstLine="420" w:firstLineChars="200"/>
              <w:rPr>
                <w:rFonts w:hint="eastAsia"/>
                <w:highlight w:val="none"/>
                <w:lang w:eastAsia="zh-CN"/>
              </w:rPr>
            </w:pPr>
            <w:r>
              <w:rPr>
                <w:rFonts w:hint="eastAsia"/>
                <w:highlight w:val="none"/>
                <w:lang w:eastAsia="zh-CN"/>
              </w:rPr>
              <w:t>喷涂工序，作业人员按照工艺要求</w:t>
            </w:r>
            <w:r>
              <w:rPr>
                <w:rFonts w:hint="eastAsia"/>
                <w:highlight w:val="none"/>
              </w:rPr>
              <w:t>和</w:t>
            </w:r>
            <w:r>
              <w:rPr>
                <w:rFonts w:hint="eastAsia"/>
                <w:highlight w:val="none"/>
                <w:lang w:eastAsia="zh-CN"/>
              </w:rPr>
              <w:t>生产单要求，使用自动喷涂线进行喷塑，审核当日生产单号1229；</w:t>
            </w:r>
          </w:p>
          <w:p>
            <w:pPr>
              <w:spacing w:line="360" w:lineRule="auto"/>
              <w:ind w:firstLine="420" w:firstLineChars="200"/>
              <w:rPr>
                <w:rFonts w:hint="default" w:eastAsia="宋体"/>
                <w:highlight w:val="none"/>
                <w:lang w:val="en-US" w:eastAsia="zh-CN"/>
              </w:rPr>
            </w:pPr>
            <w:r>
              <w:rPr>
                <w:rFonts w:hint="eastAsia"/>
                <w:highlight w:val="none"/>
                <w:lang w:eastAsia="zh-CN"/>
              </w:rPr>
              <w:t>喷涂线自动控制柜显示烘干炉温度</w:t>
            </w:r>
            <w:r>
              <w:rPr>
                <w:rFonts w:hint="eastAsia"/>
                <w:highlight w:val="none"/>
                <w:lang w:val="en-US" w:eastAsia="zh-CN"/>
              </w:rPr>
              <w:t>28.8、2#烤箱温度44.8，均在控制范围内；</w:t>
            </w:r>
          </w:p>
          <w:p>
            <w:pPr>
              <w:spacing w:line="360" w:lineRule="auto"/>
              <w:ind w:firstLine="420" w:firstLineChars="200"/>
              <w:rPr>
                <w:rFonts w:hint="eastAsia" w:eastAsia="宋体"/>
                <w:highlight w:val="none"/>
                <w:lang w:eastAsia="zh-CN"/>
              </w:rPr>
            </w:pPr>
            <w:r>
              <w:rPr>
                <w:rFonts w:hint="eastAsia"/>
                <w:highlight w:val="none"/>
                <w:lang w:eastAsia="zh-CN"/>
              </w:rPr>
              <w:t>介绍说，喷漆工序主要是补充使用，对一些颜色不能满足要求的工件进行补色或少量漏喷的部位进行补喷，审核当日喷漆房未作业；</w:t>
            </w:r>
          </w:p>
          <w:p>
            <w:pPr>
              <w:spacing w:line="360" w:lineRule="auto"/>
              <w:ind w:firstLine="420" w:firstLineChars="200"/>
              <w:rPr>
                <w:highlight w:val="none"/>
              </w:rPr>
            </w:pPr>
            <w:r>
              <w:rPr>
                <w:rFonts w:hint="eastAsia"/>
                <w:highlight w:val="none"/>
              </w:rPr>
              <w:t>组装工序，操作工依据</w:t>
            </w:r>
            <w:r>
              <w:rPr>
                <w:rFonts w:hint="eastAsia"/>
                <w:highlight w:val="none"/>
                <w:lang w:eastAsia="zh-CN"/>
              </w:rPr>
              <w:t>生产单，对加工好的组件</w:t>
            </w:r>
            <w:r>
              <w:rPr>
                <w:rFonts w:hint="eastAsia"/>
                <w:highlight w:val="none"/>
              </w:rPr>
              <w:t>进行</w:t>
            </w:r>
            <w:r>
              <w:rPr>
                <w:rFonts w:hint="eastAsia"/>
                <w:highlight w:val="none"/>
                <w:lang w:eastAsia="zh-CN"/>
              </w:rPr>
              <w:t>包装</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生产过程控制基本符合要求。</w:t>
            </w:r>
          </w:p>
          <w:p>
            <w:pPr>
              <w:keepNext w:val="0"/>
              <w:keepLines w:val="0"/>
              <w:pageBreakBefore w:val="0"/>
              <w:widowControl w:val="0"/>
              <w:kinsoku/>
              <w:wordWrap/>
              <w:overflowPunct/>
              <w:topLinePunct w:val="0"/>
              <w:autoSpaceDE/>
              <w:autoSpaceDN/>
              <w:bidi w:val="0"/>
              <w:spacing w:after="0"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lang w:val="en-US" w:eastAsia="zh-CN"/>
              </w:rPr>
              <w:t>公司在《管理手册》</w:t>
            </w:r>
            <w:r>
              <w:rPr>
                <w:rFonts w:hint="eastAsia" w:ascii="宋体" w:hAnsi="宋体"/>
                <w:szCs w:val="21"/>
                <w:highlight w:val="none"/>
              </w:rPr>
              <w:t>文件</w:t>
            </w:r>
            <w:r>
              <w:rPr>
                <w:rFonts w:hint="eastAsia" w:ascii="宋体" w:hAnsi="宋体"/>
                <w:szCs w:val="21"/>
                <w:highlight w:val="none"/>
                <w:lang w:val="en-US" w:eastAsia="zh-CN"/>
              </w:rPr>
              <w:t>中</w:t>
            </w:r>
            <w:r>
              <w:rPr>
                <w:rFonts w:hint="eastAsia" w:ascii="宋体" w:hAnsi="宋体"/>
                <w:szCs w:val="21"/>
                <w:highlight w:val="none"/>
              </w:rPr>
              <w:t>对产品、检验状态及唯一性标识做出了规定</w:t>
            </w:r>
            <w:r>
              <w:rPr>
                <w:rFonts w:hint="eastAsia" w:ascii="宋体" w:hAnsi="宋体"/>
                <w:szCs w:val="21"/>
                <w:highlight w:val="none"/>
                <w:lang w:eastAsia="zh-CN"/>
              </w:rPr>
              <w:t>；</w:t>
            </w:r>
          </w:p>
          <w:p>
            <w:pPr>
              <w:spacing w:line="360" w:lineRule="auto"/>
              <w:ind w:firstLine="420" w:firstLineChars="200"/>
              <w:rPr>
                <w:rFonts w:hint="eastAsia" w:hAnsiTheme="minorEastAsia"/>
              </w:rPr>
            </w:pPr>
            <w:r>
              <w:rPr>
                <w:rFonts w:hint="eastAsia" w:hAnsiTheme="minorEastAsia"/>
              </w:rPr>
              <w:t>待检品、合格品、不合格品能分区存放，型材货架上有标识牌，产品摆放整齐，五金小部件摆放在货架上，成品用</w:t>
            </w:r>
            <w:r>
              <w:rPr>
                <w:rFonts w:hint="eastAsia" w:hAnsiTheme="minorEastAsia"/>
                <w:lang w:eastAsia="zh-CN"/>
              </w:rPr>
              <w:t>订单号标识</w:t>
            </w:r>
            <w:r>
              <w:rPr>
                <w:rFonts w:hint="eastAsia" w:hAnsiTheme="minorEastAsia"/>
              </w:rPr>
              <w:t>。</w:t>
            </w:r>
          </w:p>
          <w:p>
            <w:pPr>
              <w:spacing w:line="360" w:lineRule="auto"/>
              <w:ind w:firstLine="420" w:firstLineChars="200"/>
              <w:rPr>
                <w:rFonts w:hint="eastAsia" w:hAnsiTheme="minorEastAsia"/>
              </w:rPr>
            </w:pPr>
            <w:r>
              <w:rPr>
                <w:rFonts w:hint="eastAsia" w:hAnsiTheme="minorEastAsia"/>
              </w:rPr>
              <w:t>型材、</w:t>
            </w:r>
            <w:r>
              <w:rPr>
                <w:rFonts w:hint="eastAsia" w:hAnsiTheme="minorEastAsia"/>
                <w:lang w:eastAsia="zh-CN"/>
              </w:rPr>
              <w:t>镀锌板</w:t>
            </w:r>
            <w:r>
              <w:rPr>
                <w:rFonts w:hint="eastAsia" w:hAnsiTheme="minorEastAsia"/>
              </w:rPr>
              <w:t>、五金件等原材料，半成品、成品根据固有特性进行标识，可以根据采购检验记录、生产计划单、成品检验记录进行追溯。</w:t>
            </w:r>
          </w:p>
          <w:p>
            <w:pPr>
              <w:spacing w:line="360" w:lineRule="auto"/>
              <w:ind w:firstLine="420" w:firstLineChars="200"/>
              <w:rPr>
                <w:rFonts w:hint="eastAsia" w:eastAsia="宋体" w:hAnsiTheme="minorEastAsia"/>
                <w:lang w:eastAsia="zh-CN"/>
              </w:rPr>
            </w:pPr>
            <w:r>
              <w:rPr>
                <w:rFonts w:hint="eastAsia" w:hAnsiTheme="minorEastAsia"/>
              </w:rPr>
              <w:t>原材料采用原厂防护，依据不同的类型和防护要求进行存放</w:t>
            </w:r>
            <w:r>
              <w:rPr>
                <w:rFonts w:hint="eastAsia" w:hAnsiTheme="minorEastAsia"/>
                <w:lang w:eastAsia="zh-CN"/>
              </w:rPr>
              <w:t>；</w:t>
            </w:r>
          </w:p>
          <w:p>
            <w:pPr>
              <w:spacing w:line="360" w:lineRule="auto"/>
              <w:ind w:firstLine="420" w:firstLineChars="200"/>
              <w:rPr>
                <w:rFonts w:hAnsiTheme="minorEastAsia"/>
              </w:rPr>
            </w:pPr>
            <w:r>
              <w:rPr>
                <w:rFonts w:hint="eastAsia" w:hAnsiTheme="minorEastAsia"/>
              </w:rPr>
              <w:t>生产车间原材料分类分区放置在指定位置、产品标识方法得当、未发现不同类型和状态产品发生混淆现象；</w:t>
            </w:r>
          </w:p>
          <w:p>
            <w:pPr>
              <w:spacing w:line="360" w:lineRule="auto"/>
              <w:ind w:firstLine="420" w:firstLineChars="200"/>
              <w:rPr>
                <w:rFonts w:hAnsiTheme="minorEastAsia"/>
              </w:rPr>
            </w:pPr>
            <w:r>
              <w:rPr>
                <w:rFonts w:hint="eastAsia" w:hAnsiTheme="minorEastAsia"/>
              </w:rPr>
              <w:t>产品生产过程中有采取相应的措施进行防护，防护包括标识、包装、储存、运输以及保护等；</w:t>
            </w:r>
          </w:p>
          <w:p>
            <w:pPr>
              <w:spacing w:line="360" w:lineRule="auto"/>
              <w:ind w:firstLine="420" w:firstLineChars="200"/>
              <w:rPr>
                <w:rFonts w:hAnsiTheme="minorEastAsia"/>
              </w:rPr>
            </w:pPr>
            <w:r>
              <w:rPr>
                <w:rFonts w:hint="eastAsia" w:hAnsiTheme="minorEastAsia"/>
              </w:rPr>
              <w:t>产品（半成品）存放在木质托盘上；</w:t>
            </w:r>
          </w:p>
          <w:p>
            <w:pPr>
              <w:spacing w:line="360" w:lineRule="auto"/>
              <w:ind w:firstLine="420" w:firstLineChars="200"/>
              <w:rPr>
                <w:rFonts w:hint="eastAsia" w:ascii="Times New Roman" w:eastAsia="宋体" w:cs="Times New Roman" w:hAnsiTheme="minorEastAsia"/>
              </w:rPr>
            </w:pPr>
            <w:r>
              <w:rPr>
                <w:rFonts w:hint="eastAsia" w:hAnsiTheme="minorEastAsia"/>
              </w:rPr>
              <w:t>产品交工、包装及交付到预定地点期间，针对产品采取适当的防护措施，包括选择合适的搬运方法和设备（手推</w:t>
            </w:r>
            <w:r>
              <w:rPr>
                <w:rFonts w:hint="eastAsia" w:ascii="Times New Roman" w:eastAsia="宋体" w:cs="Times New Roman" w:hAnsiTheme="minorEastAsia"/>
              </w:rPr>
              <w:t>车</w:t>
            </w:r>
            <w:r>
              <w:rPr>
                <w:rFonts w:hint="eastAsia" w:ascii="Times New Roman" w:eastAsia="宋体" w:cs="Times New Roman" w:hAnsiTheme="minorEastAsia"/>
                <w:lang w:eastAsia="zh-CN"/>
              </w:rPr>
              <w:t>、手动叉车、叉车、行车等</w:t>
            </w:r>
            <w:r>
              <w:rPr>
                <w:rFonts w:hint="eastAsia" w:ascii="Times New Roman" w:eastAsia="宋体" w:cs="Times New Roman" w:hAnsiTheme="minorEastAsia"/>
              </w:rPr>
              <w:t>）、贮存场所，保持标识完整、清晰；</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介绍说，产品</w:t>
            </w:r>
            <w:r>
              <w:rPr>
                <w:rFonts w:hint="eastAsia" w:ascii="Times New Roman" w:eastAsia="宋体" w:cs="Times New Roman" w:hAnsiTheme="minorEastAsia"/>
                <w:lang w:eastAsia="zh-CN"/>
              </w:rPr>
              <w:t>基本上</w:t>
            </w:r>
            <w:r>
              <w:rPr>
                <w:rFonts w:hint="eastAsia" w:ascii="Times New Roman" w:eastAsia="宋体" w:cs="Times New Roman" w:hAnsiTheme="minorEastAsia"/>
              </w:rPr>
              <w:t>是将半成品运输到客户现场再进行安装。</w:t>
            </w:r>
          </w:p>
          <w:p>
            <w:pPr>
              <w:spacing w:line="360" w:lineRule="auto"/>
              <w:ind w:firstLine="420" w:firstLineChars="200"/>
              <w:rPr>
                <w:rFonts w:hint="eastAsia" w:ascii="Times New Roman" w:eastAsia="宋体" w:cs="Times New Roman" w:hAnsiTheme="minorEastAsia"/>
              </w:rPr>
            </w:pPr>
            <w:r>
              <w:rPr>
                <w:rFonts w:hint="eastAsia" w:ascii="Times New Roman" w:eastAsia="宋体" w:cs="Times New Roman" w:hAnsiTheme="minorEastAsia"/>
              </w:rPr>
              <w:t>对生产服务提供的更改进行必要的评审和控制，以确保稳定的符合要求。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Theme="minorEastAsia" w:hAnsiTheme="minorEastAsia" w:eastAsiaTheme="minorEastAsia" w:cstheme="minorEastAsia"/>
                <w:kern w:val="2"/>
                <w:sz w:val="21"/>
                <w:lang w:val="en-US" w:eastAsia="zh-CN" w:bidi="ar-SA"/>
              </w:rPr>
            </w:pPr>
            <w:r>
              <w:rPr>
                <w:rFonts w:hint="eastAsia" w:ascii="Times New Roman" w:eastAsia="宋体" w:cs="Times New Roman" w:hAnsiTheme="minorEastAsia"/>
              </w:rPr>
              <w:t>组织保留形成文件的信息，包括有关更改评审结果、授权进行更改的人员以及根据评审所采取的必要措施。</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rPr>
            </w:pPr>
            <w:r>
              <w:rPr>
                <w:rFonts w:hint="eastAsia"/>
              </w:rPr>
              <w:t>运行策划和控制</w:t>
            </w:r>
          </w:p>
          <w:p>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bCs/>
                <w:spacing w:val="10"/>
                <w:kern w:val="2"/>
                <w:sz w:val="21"/>
                <w:lang w:val="en-US" w:eastAsia="zh-CN" w:bidi="ar-SA"/>
              </w:rPr>
            </w:pPr>
            <w:r>
              <w:rPr>
                <w:rFonts w:hint="eastAsia" w:asciiTheme="minorEastAsia" w:hAnsiTheme="minorEastAsia" w:eastAsiaTheme="minorEastAsia" w:cstheme="minorEastAsia"/>
                <w:spacing w:val="-6"/>
                <w:sz w:val="21"/>
                <w:szCs w:val="21"/>
                <w:lang w:val="en-US" w:eastAsia="zh-CN"/>
              </w:rPr>
              <w:t>运行环境</w:t>
            </w:r>
          </w:p>
        </w:tc>
        <w:tc>
          <w:tcPr>
            <w:tcW w:w="1121"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新宋体"/>
                <w:kern w:val="2"/>
                <w:sz w:val="21"/>
                <w:szCs w:val="21"/>
                <w:lang w:val="en-US" w:eastAsia="zh-CN" w:bidi="ar-SA"/>
              </w:rPr>
            </w:pPr>
            <w:r>
              <w:rPr>
                <w:rFonts w:hint="eastAsia" w:ascii="宋体" w:hAnsi="宋体" w:eastAsia="宋体" w:cs="新宋体"/>
                <w:kern w:val="2"/>
                <w:sz w:val="21"/>
                <w:szCs w:val="21"/>
                <w:lang w:val="en-US" w:eastAsia="zh-CN" w:bidi="ar-SA"/>
              </w:rPr>
              <w:t>EO:8.1</w:t>
            </w:r>
          </w:p>
          <w:p>
            <w:pPr>
              <w:pStyle w:val="2"/>
              <w:jc w:val="center"/>
              <w:rPr>
                <w:rFonts w:hint="default" w:eastAsia="宋体"/>
                <w:lang w:val="en-US" w:eastAsia="zh-CN"/>
              </w:rPr>
            </w:pPr>
            <w:r>
              <w:rPr>
                <w:rFonts w:hint="eastAsia" w:ascii="宋体" w:hAnsi="宋体" w:cs="新宋体"/>
                <w:szCs w:val="21"/>
                <w:lang w:val="en-US" w:eastAsia="zh-CN"/>
              </w:rPr>
              <w:t>Q:7.1.4</w:t>
            </w:r>
          </w:p>
        </w:tc>
        <w:tc>
          <w:tcPr>
            <w:tcW w:w="0" w:type="auto"/>
            <w:vAlign w:val="top"/>
          </w:tcPr>
          <w:p>
            <w:pPr>
              <w:spacing w:line="360" w:lineRule="auto"/>
              <w:ind w:firstLine="420" w:firstLineChars="200"/>
              <w:rPr>
                <w:rFonts w:hint="eastAsia" w:ascii="Times New Roman" w:eastAsia="宋体" w:cs="Times New Roman" w:hAnsiTheme="minorEastAsia"/>
              </w:rPr>
            </w:pPr>
            <w:r>
              <w:rPr>
                <w:rFonts w:hint="eastAsia" w:hAnsiTheme="minorEastAsia"/>
              </w:rPr>
              <w:t>编制</w:t>
            </w:r>
            <w:r>
              <w:rPr>
                <w:rFonts w:hint="eastAsia" w:hAnsiTheme="minorEastAsia"/>
                <w:lang w:eastAsia="zh-CN"/>
              </w:rPr>
              <w:t>了</w:t>
            </w:r>
            <w:r>
              <w:rPr>
                <w:rFonts w:hint="eastAsia" w:hAnsiTheme="minorEastAsia"/>
              </w:rPr>
              <w:t>与环境、安全体系运行控制有关的管理规定和程序文件。</w:t>
            </w:r>
            <w:r>
              <w:rPr>
                <w:rFonts w:hint="eastAsia" w:ascii="Times New Roman" w:eastAsia="宋体" w:cs="Times New Roman" w:hAnsiTheme="minorEastAsia"/>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生产过程：</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lang w:val="en-US" w:eastAsia="zh-CN"/>
              </w:rPr>
            </w:pPr>
            <w:r>
              <w:rPr>
                <w:rFonts w:hint="eastAsia" w:ascii="Times New Roman" w:hAnsi="Times New Roman" w:eastAsia="宋体" w:cs="Times New Roman"/>
                <w:szCs w:val="22"/>
                <w:lang w:val="en-US" w:eastAsia="zh-CN"/>
              </w:rPr>
              <w:t>下料－冲压－折弯－焊接－喷涂－装配－成品检验－包装－入库</w:t>
            </w:r>
          </w:p>
          <w:p>
            <w:pPr>
              <w:spacing w:line="360" w:lineRule="auto"/>
              <w:ind w:firstLine="420" w:firstLineChars="200"/>
              <w:rPr>
                <w:rFonts w:hint="eastAsia" w:hAnsiTheme="minorEastAsia"/>
              </w:rPr>
            </w:pPr>
            <w:r>
              <w:rPr>
                <w:rFonts w:hint="eastAsia" w:hAnsiTheme="minorEastAsia"/>
              </w:rPr>
              <w:t>1、废水管控：</w:t>
            </w:r>
          </w:p>
          <w:p>
            <w:pPr>
              <w:spacing w:line="360" w:lineRule="auto"/>
              <w:ind w:firstLine="420" w:firstLineChars="200"/>
              <w:rPr>
                <w:rFonts w:hint="eastAsia" w:hAnsiTheme="minorEastAsia"/>
                <w:lang w:eastAsia="zh-CN"/>
              </w:rPr>
            </w:pPr>
            <w:r>
              <w:rPr>
                <w:rFonts w:hint="eastAsia" w:hAnsiTheme="minorEastAsia"/>
              </w:rPr>
              <w:t>企业</w:t>
            </w:r>
            <w:r>
              <w:rPr>
                <w:rFonts w:hint="eastAsia" w:hAnsiTheme="minorEastAsia"/>
                <w:lang w:eastAsia="zh-CN"/>
              </w:rPr>
              <w:t>钝化工艺产生的</w:t>
            </w:r>
            <w:r>
              <w:rPr>
                <w:rFonts w:hint="eastAsia" w:hAnsiTheme="minorEastAsia"/>
              </w:rPr>
              <w:t>工业废水，</w:t>
            </w:r>
            <w:r>
              <w:rPr>
                <w:rFonts w:hint="eastAsia" w:hAnsiTheme="minorEastAsia"/>
                <w:lang w:eastAsia="zh-CN"/>
              </w:rPr>
              <w:t>通过调节池酸碱中和后，利用</w:t>
            </w:r>
            <w:r>
              <w:rPr>
                <w:rFonts w:hint="eastAsia" w:hAnsiTheme="minorEastAsia"/>
                <w:lang w:val="en-US" w:eastAsia="zh-CN"/>
              </w:rPr>
              <w:t>MBR污水处理设备进行处理后排放；</w:t>
            </w:r>
            <w:r>
              <w:rPr>
                <w:rFonts w:hint="eastAsia" w:hAnsiTheme="minorEastAsia"/>
              </w:rPr>
              <w:t>厂区生活污水</w:t>
            </w:r>
            <w:r>
              <w:rPr>
                <w:rFonts w:hint="eastAsia" w:hAnsiTheme="minorEastAsia"/>
                <w:lang w:eastAsia="zh-CN"/>
              </w:rPr>
              <w:t>利用</w:t>
            </w:r>
            <w:r>
              <w:rPr>
                <w:rFonts w:hint="eastAsia" w:hAnsiTheme="minorEastAsia"/>
                <w:lang w:val="en-US" w:eastAsia="zh-CN"/>
              </w:rPr>
              <w:t>MBR污水处理设备进行处理后</w:t>
            </w:r>
            <w:r>
              <w:rPr>
                <w:rFonts w:hint="eastAsia" w:hAnsiTheme="minorEastAsia"/>
              </w:rPr>
              <w:t>排入污水管网</w:t>
            </w:r>
            <w:r>
              <w:rPr>
                <w:rFonts w:hint="eastAsia" w:hAnsiTheme="minorEastAsia"/>
                <w:lang w:eastAsia="zh-CN"/>
              </w:rPr>
              <w:t>；</w:t>
            </w:r>
          </w:p>
          <w:p>
            <w:pPr>
              <w:spacing w:line="360" w:lineRule="auto"/>
              <w:ind w:firstLine="420" w:firstLineChars="200"/>
              <w:rPr>
                <w:rFonts w:hint="eastAsia" w:hAnsiTheme="minorEastAsia"/>
                <w:lang w:eastAsia="zh-CN"/>
              </w:rPr>
            </w:pPr>
            <w:r>
              <w:rPr>
                <w:rFonts w:hint="eastAsia" w:hAnsiTheme="minorEastAsia"/>
                <w:lang w:eastAsia="zh-CN"/>
              </w:rPr>
              <w:t>查见污水处理站检查记录，记录每日巡查的设备工作状态，定期维护内容，责任人签名；</w:t>
            </w:r>
          </w:p>
          <w:p>
            <w:pPr>
              <w:spacing w:line="360" w:lineRule="auto"/>
              <w:ind w:firstLine="420" w:firstLineChars="200"/>
              <w:rPr>
                <w:rFonts w:hint="eastAsia" w:hAnsiTheme="minorEastAsia"/>
              </w:rPr>
            </w:pPr>
            <w:r>
              <w:rPr>
                <w:rFonts w:hint="eastAsia" w:hAnsiTheme="minorEastAsia"/>
              </w:rPr>
              <w:t>2、废气管控：</w:t>
            </w:r>
          </w:p>
          <w:p>
            <w:pPr>
              <w:spacing w:line="360" w:lineRule="auto"/>
              <w:ind w:firstLine="420" w:firstLineChars="200"/>
              <w:rPr>
                <w:rFonts w:hint="eastAsia" w:eastAsia="宋体" w:hAnsiTheme="minorEastAsia"/>
                <w:lang w:eastAsia="zh-CN"/>
              </w:rPr>
            </w:pPr>
            <w:r>
              <w:rPr>
                <w:rFonts w:hint="eastAsia" w:hAnsiTheme="minorEastAsia"/>
                <w:lang w:eastAsia="zh-CN"/>
              </w:rPr>
              <w:t>公司生产过程中喷涂产生的有机废气、天然气燃烧生产的废气通过净化除尘装置处理后，经</w:t>
            </w:r>
            <w:r>
              <w:rPr>
                <w:rFonts w:hint="eastAsia" w:hAnsiTheme="minorEastAsia"/>
                <w:lang w:val="en-US" w:eastAsia="zh-CN"/>
              </w:rPr>
              <w:t>15米高的排气筒排放，焊接过程</w:t>
            </w:r>
            <w:r>
              <w:rPr>
                <w:rFonts w:hint="eastAsia" w:hAnsiTheme="minorEastAsia"/>
                <w:lang w:eastAsia="zh-CN"/>
              </w:rPr>
              <w:t>产生的电焊烟尘无组织排放；</w:t>
            </w:r>
          </w:p>
          <w:p>
            <w:pPr>
              <w:spacing w:line="360" w:lineRule="auto"/>
              <w:ind w:firstLine="420" w:firstLineChars="200"/>
              <w:rPr>
                <w:rFonts w:hint="eastAsia" w:hAnsiTheme="minorEastAsia"/>
              </w:rPr>
            </w:pPr>
            <w:r>
              <w:rPr>
                <w:rFonts w:hint="eastAsia" w:hAnsiTheme="minorEastAsia"/>
              </w:rPr>
              <w:t>3、噪声管控：</w:t>
            </w:r>
          </w:p>
          <w:p>
            <w:pPr>
              <w:spacing w:line="360" w:lineRule="auto"/>
              <w:ind w:firstLine="420" w:firstLineChars="200"/>
              <w:rPr>
                <w:rFonts w:hint="eastAsia" w:eastAsia="宋体" w:hAnsiTheme="minorEastAsia"/>
                <w:lang w:eastAsia="zh-CN"/>
              </w:rPr>
            </w:pPr>
            <w:r>
              <w:rPr>
                <w:rFonts w:hint="eastAsia" w:hAnsiTheme="minorEastAsia"/>
              </w:rPr>
              <w:t>主要是生产过程激光切割机、折弯机、冲压等设备噪声，通过优先选用低噪设备，对生产设备进行降噪等措施，同时加强设备的检查和维保，确保机械设备在正常工况下运行</w:t>
            </w:r>
            <w:r>
              <w:rPr>
                <w:rFonts w:hint="eastAsia" w:hAnsiTheme="minorEastAsia"/>
                <w:lang w:eastAsia="zh-CN"/>
              </w:rPr>
              <w:t>，厂界噪声达标；</w:t>
            </w:r>
          </w:p>
          <w:p>
            <w:pPr>
              <w:spacing w:line="360" w:lineRule="auto"/>
              <w:ind w:firstLine="420" w:firstLineChars="200"/>
              <w:rPr>
                <w:rFonts w:hint="eastAsia" w:hAnsiTheme="minorEastAsia"/>
              </w:rPr>
            </w:pPr>
            <w:r>
              <w:rPr>
                <w:rFonts w:hint="eastAsia" w:hAnsiTheme="minorEastAsia"/>
              </w:rPr>
              <w:t>4、固废管控：</w:t>
            </w:r>
          </w:p>
          <w:p>
            <w:pPr>
              <w:spacing w:line="360" w:lineRule="auto"/>
              <w:ind w:firstLine="420" w:firstLineChars="200"/>
              <w:rPr>
                <w:rFonts w:hint="eastAsia" w:eastAsia="宋体" w:hAnsiTheme="minorEastAsia"/>
                <w:lang w:eastAsia="zh-CN"/>
              </w:rPr>
            </w:pPr>
            <w:r>
              <w:rPr>
                <w:rFonts w:hint="eastAsia" w:hAnsiTheme="minorEastAsia"/>
              </w:rPr>
              <w:t>办公固废主要是墨盒硒鼓等，由</w:t>
            </w:r>
            <w:r>
              <w:rPr>
                <w:rFonts w:hint="eastAsia" w:hAnsiTheme="minorEastAsia"/>
                <w:lang w:eastAsia="zh-CN"/>
              </w:rPr>
              <w:t>办公室</w:t>
            </w:r>
            <w:r>
              <w:rPr>
                <w:rFonts w:hint="eastAsia" w:hAnsiTheme="minorEastAsia"/>
              </w:rPr>
              <w:t>统一处理回收，生活垃圾放在门口垃圾桶由环卫部门统一处理</w:t>
            </w:r>
            <w:r>
              <w:rPr>
                <w:rFonts w:hint="eastAsia" w:hAnsiTheme="minorEastAsia"/>
                <w:lang w:eastAsia="zh-CN"/>
              </w:rPr>
              <w:t>；</w:t>
            </w:r>
          </w:p>
          <w:p>
            <w:pPr>
              <w:spacing w:line="360" w:lineRule="auto"/>
              <w:ind w:firstLine="420" w:firstLineChars="200"/>
              <w:rPr>
                <w:rFonts w:hint="eastAsia" w:hAnsiTheme="minorEastAsia"/>
              </w:rPr>
            </w:pPr>
            <w:r>
              <w:rPr>
                <w:rFonts w:hint="eastAsia" w:hAnsiTheme="minorEastAsia"/>
              </w:rPr>
              <w:t>生产过程中主要为下料产生废边角料、镀锌板、铝合金等，固废集中收集售卖；</w:t>
            </w:r>
          </w:p>
          <w:p>
            <w:pPr>
              <w:spacing w:line="360" w:lineRule="auto"/>
              <w:ind w:firstLine="420" w:firstLineChars="200"/>
              <w:rPr>
                <w:rFonts w:hint="eastAsia" w:hAnsiTheme="minorEastAsia"/>
                <w:lang w:eastAsia="zh-CN"/>
              </w:rPr>
            </w:pPr>
            <w:r>
              <w:rPr>
                <w:rFonts w:hint="eastAsia" w:hAnsiTheme="minorEastAsia"/>
                <w:lang w:eastAsia="zh-CN"/>
              </w:rPr>
              <w:t>生产过程中产生的危废主要是乳化油、污泥滤渣、漆渣、废油漆桶、废活性炭等，查见：</w:t>
            </w:r>
          </w:p>
          <w:p>
            <w:pPr>
              <w:spacing w:line="360" w:lineRule="auto"/>
              <w:ind w:firstLine="420" w:firstLineChars="200"/>
              <w:rPr>
                <w:rFonts w:hint="eastAsia" w:hAnsiTheme="minorEastAsia"/>
                <w:lang w:val="en-US" w:eastAsia="zh-CN"/>
              </w:rPr>
            </w:pPr>
            <w:r>
              <w:rPr>
                <w:rFonts w:hint="eastAsia" w:hAnsiTheme="minorEastAsia"/>
                <w:lang w:eastAsia="zh-CN"/>
              </w:rPr>
              <w:t>危废处理协议——江西东江环保技术有限公司签订，</w:t>
            </w:r>
            <w:r>
              <w:rPr>
                <w:rFonts w:hint="eastAsia" w:hAnsiTheme="minorEastAsia"/>
                <w:lang w:val="en-US" w:eastAsia="zh-CN"/>
              </w:rPr>
              <w:t>2022.5.12；</w:t>
            </w:r>
          </w:p>
          <w:p>
            <w:pPr>
              <w:spacing w:line="360" w:lineRule="auto"/>
              <w:ind w:firstLine="420" w:firstLineChars="200"/>
              <w:rPr>
                <w:rFonts w:hint="eastAsia" w:hAnsiTheme="minorEastAsia"/>
                <w:lang w:val="en-US" w:eastAsia="zh-CN"/>
              </w:rPr>
            </w:pPr>
            <w:r>
              <w:rPr>
                <w:rFonts w:hint="eastAsia" w:hAnsiTheme="minorEastAsia"/>
                <w:lang w:val="en-US" w:eastAsia="zh-CN"/>
              </w:rPr>
              <w:t>附营业执照、危险废物经营许可证、道路运输经营许可证（危险废物）；</w:t>
            </w:r>
          </w:p>
          <w:p>
            <w:pPr>
              <w:spacing w:line="360" w:lineRule="auto"/>
              <w:ind w:firstLine="420" w:firstLineChars="200"/>
              <w:rPr>
                <w:rFonts w:hint="eastAsia" w:hAnsiTheme="minorEastAsia"/>
                <w:lang w:val="en-US" w:eastAsia="zh-CN"/>
              </w:rPr>
            </w:pPr>
            <w:r>
              <w:rPr>
                <w:rFonts w:hint="eastAsia" w:hAnsiTheme="minorEastAsia"/>
                <w:lang w:val="en-US" w:eastAsia="zh-CN"/>
              </w:rPr>
              <w:t>危废仓库张贴显著警示标识、单位名称和污染物种类；</w:t>
            </w:r>
          </w:p>
          <w:p>
            <w:pPr>
              <w:spacing w:line="360" w:lineRule="auto"/>
              <w:ind w:firstLine="420" w:firstLineChars="200"/>
              <w:rPr>
                <w:rFonts w:hint="eastAsia" w:hAnsiTheme="minorEastAsia"/>
                <w:lang w:val="en-US" w:eastAsia="zh-CN"/>
              </w:rPr>
            </w:pPr>
            <w:r>
              <w:rPr>
                <w:rFonts w:hint="eastAsia" w:hAnsiTheme="minorEastAsia"/>
                <w:lang w:val="en-US" w:eastAsia="zh-CN"/>
              </w:rPr>
              <w:t>查见危废库中的危险废物产生及仓储环节记录表，登记了入库的废油漆渣、废油漆桶、污泥渣、活性炭等数量和时间以及转移的数量、时间和转移单位-东江，经办人签字；</w:t>
            </w:r>
          </w:p>
          <w:p>
            <w:pPr>
              <w:spacing w:line="360" w:lineRule="auto"/>
              <w:ind w:firstLine="420" w:firstLineChars="200"/>
              <w:rPr>
                <w:rFonts w:hint="eastAsia" w:hAnsiTheme="minorEastAsia"/>
                <w:highlight w:val="none"/>
                <w:lang w:val="en-US" w:eastAsia="zh-CN"/>
              </w:rPr>
            </w:pPr>
            <w:r>
              <w:rPr>
                <w:rFonts w:hint="eastAsia" w:hAnsiTheme="minorEastAsia"/>
                <w:highlight w:val="none"/>
                <w:lang w:val="en-US" w:eastAsia="zh-CN"/>
              </w:rPr>
              <w:t>查见转移联单：</w:t>
            </w:r>
          </w:p>
          <w:p>
            <w:pPr>
              <w:spacing w:line="360" w:lineRule="auto"/>
              <w:ind w:firstLine="420" w:firstLineChars="200"/>
              <w:rPr>
                <w:rFonts w:hint="eastAsia" w:hAnsiTheme="minorEastAsia"/>
                <w:lang w:val="en-US" w:eastAsia="zh-CN"/>
              </w:rPr>
            </w:pPr>
            <w:r>
              <w:rPr>
                <w:rFonts w:hint="eastAsia" w:hAnsiTheme="minorEastAsia"/>
                <w:lang w:val="en-US" w:eastAsia="zh-CN"/>
              </w:rPr>
              <w:t>废活性炭——0.1吨，1袋，2021.11.06，接收单位东江环保技术有限公司；</w:t>
            </w:r>
          </w:p>
          <w:p>
            <w:pPr>
              <w:spacing w:line="360" w:lineRule="auto"/>
              <w:ind w:firstLine="420" w:firstLineChars="200"/>
              <w:rPr>
                <w:rFonts w:hint="eastAsia" w:hAnsiTheme="minorEastAsia"/>
                <w:lang w:val="en-US" w:eastAsia="zh-CN"/>
              </w:rPr>
            </w:pPr>
            <w:r>
              <w:rPr>
                <w:rFonts w:hint="eastAsia" w:hAnsiTheme="minorEastAsia"/>
                <w:lang w:val="en-US" w:eastAsia="zh-CN"/>
              </w:rPr>
              <w:t>水帘沉淀池中的废漆渣——0.8吨，5桶，2021.11.06，接收单位东江环保技术有限公司；</w:t>
            </w:r>
          </w:p>
          <w:p>
            <w:pPr>
              <w:spacing w:line="360" w:lineRule="auto"/>
              <w:ind w:firstLine="420" w:firstLineChars="200"/>
              <w:rPr>
                <w:rFonts w:hint="eastAsia" w:hAnsiTheme="minorEastAsia"/>
                <w:lang w:val="en-US" w:eastAsia="zh-CN"/>
              </w:rPr>
            </w:pPr>
            <w:r>
              <w:rPr>
                <w:rFonts w:hint="eastAsia" w:hAnsiTheme="minorEastAsia"/>
                <w:lang w:val="en-US" w:eastAsia="zh-CN"/>
              </w:rPr>
              <w:t>污泥滤渣——0.9吨，2桶，2021.11.06，接收单位东江环保技术有限公司；</w:t>
            </w:r>
          </w:p>
          <w:p>
            <w:pPr>
              <w:spacing w:line="360" w:lineRule="auto"/>
              <w:ind w:firstLine="420" w:firstLineChars="200"/>
              <w:rPr>
                <w:rFonts w:hint="eastAsia" w:hAnsiTheme="minorEastAsia"/>
                <w:lang w:val="en-US" w:eastAsia="zh-CN"/>
              </w:rPr>
            </w:pPr>
            <w:r>
              <w:rPr>
                <w:rFonts w:hint="eastAsia" w:hAnsiTheme="minorEastAsia"/>
                <w:lang w:val="en-US" w:eastAsia="zh-CN"/>
              </w:rPr>
              <w:t>废乳化油——0.1吨，5桶，2021.11.06，接收单位东江环保技术有限公司；</w:t>
            </w:r>
          </w:p>
          <w:p>
            <w:pPr>
              <w:spacing w:line="360" w:lineRule="auto"/>
              <w:ind w:firstLine="420" w:firstLineChars="200"/>
              <w:rPr>
                <w:rFonts w:hint="eastAsia" w:hAnsiTheme="minorEastAsia"/>
                <w:lang w:val="en-US" w:eastAsia="zh-CN"/>
              </w:rPr>
            </w:pPr>
            <w:r>
              <w:rPr>
                <w:rFonts w:hint="eastAsia" w:hAnsiTheme="minorEastAsia"/>
                <w:lang w:val="en-US" w:eastAsia="zh-CN"/>
              </w:rPr>
              <w:t>废油漆包装桶——1.1吨，68个，2021.11.06，接收单位东江环保技术有限公司；</w:t>
            </w:r>
          </w:p>
          <w:p>
            <w:pPr>
              <w:spacing w:line="360" w:lineRule="auto"/>
              <w:ind w:firstLine="420" w:firstLineChars="200"/>
              <w:rPr>
                <w:rFonts w:hint="eastAsia" w:eastAsia="宋体" w:hAnsiTheme="minorEastAsia"/>
                <w:lang w:val="en-US" w:eastAsia="zh-CN"/>
              </w:rPr>
            </w:pPr>
            <w:r>
              <w:rPr>
                <w:rFonts w:hint="eastAsia" w:hAnsiTheme="minorEastAsia"/>
                <w:lang w:val="en-US" w:eastAsia="zh-CN"/>
              </w:rPr>
              <w:t xml:space="preserve">漆渣——1吨，5桶，2021.11.06，接收单位东江环保技术有限公司。 </w:t>
            </w:r>
          </w:p>
          <w:p>
            <w:pPr>
              <w:spacing w:line="360" w:lineRule="auto"/>
              <w:ind w:firstLine="420" w:firstLineChars="200"/>
              <w:rPr>
                <w:rFonts w:hint="eastAsia" w:ascii="Times New Roman" w:eastAsia="宋体" w:cs="Times New Roman" w:hAnsiTheme="minorEastAsia"/>
                <w:color w:val="auto"/>
              </w:rPr>
            </w:pPr>
            <w:r>
              <w:rPr>
                <w:rFonts w:hint="eastAsia" w:ascii="Times New Roman" w:eastAsia="宋体" w:cs="Times New Roman" w:hAnsiTheme="minorEastAsia"/>
                <w:color w:val="auto"/>
              </w:rPr>
              <w:t>现场观察：</w:t>
            </w:r>
          </w:p>
          <w:p>
            <w:pPr>
              <w:spacing w:line="360" w:lineRule="auto"/>
              <w:ind w:firstLine="420" w:firstLineChars="200"/>
              <w:rPr>
                <w:rFonts w:hint="eastAsia" w:hAnsiTheme="minorEastAsia"/>
                <w:color w:val="auto"/>
              </w:rPr>
            </w:pPr>
            <w:r>
              <w:rPr>
                <w:rFonts w:hint="eastAsia" w:hAnsiTheme="minorEastAsia"/>
                <w:color w:val="auto"/>
              </w:rPr>
              <w:t>生产过程注意节水、节电、节约木材，人走关闭设备和照明开关，现场未发现有漏水和浪费电能的现象。</w:t>
            </w:r>
          </w:p>
          <w:p>
            <w:pPr>
              <w:spacing w:line="360" w:lineRule="auto"/>
              <w:ind w:firstLine="420" w:firstLineChars="200"/>
              <w:rPr>
                <w:rFonts w:hint="eastAsia" w:ascii="Times New Roman" w:eastAsia="宋体" w:cs="Times New Roman" w:hAnsiTheme="minorEastAsia"/>
                <w:color w:val="auto"/>
              </w:rPr>
            </w:pPr>
            <w:r>
              <w:rPr>
                <w:rFonts w:hint="eastAsia" w:ascii="Times New Roman" w:eastAsia="宋体" w:cs="Times New Roman" w:hAnsiTheme="minorEastAsia"/>
                <w:color w:val="auto"/>
              </w:rPr>
              <w:t>生产车间</w:t>
            </w:r>
            <w:r>
              <w:rPr>
                <w:rFonts w:hint="eastAsia" w:ascii="Times New Roman" w:eastAsia="宋体" w:cs="Times New Roman" w:hAnsiTheme="minorEastAsia"/>
                <w:color w:val="auto"/>
                <w:lang w:eastAsia="zh-CN"/>
              </w:rPr>
              <w:t>钢架结构，挑高</w:t>
            </w:r>
            <w:r>
              <w:rPr>
                <w:rFonts w:hint="eastAsia" w:ascii="Times New Roman" w:eastAsia="宋体" w:cs="Times New Roman" w:hAnsiTheme="minorEastAsia"/>
                <w:color w:val="auto"/>
                <w:lang w:val="en-US" w:eastAsia="zh-CN"/>
              </w:rPr>
              <w:t>8m，</w:t>
            </w:r>
            <w:r>
              <w:rPr>
                <w:rFonts w:hint="eastAsia" w:ascii="Times New Roman" w:eastAsia="宋体" w:cs="Times New Roman" w:hAnsiTheme="minorEastAsia"/>
                <w:color w:val="auto"/>
              </w:rPr>
              <w:t>光线良好，空间较宽敞，工作场所布局合理，通道宽度满足要求；</w:t>
            </w:r>
          </w:p>
          <w:p>
            <w:pP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人员、货物通道分设，车间大门限高4m、限宽4m；</w:t>
            </w:r>
          </w:p>
          <w:p>
            <w:pPr>
              <w:spacing w:line="360" w:lineRule="auto"/>
              <w:ind w:firstLine="420" w:firstLineChars="200"/>
              <w:rPr>
                <w:rFonts w:hint="default"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焊接工序使用的钢质气瓶用链条固定、直立摆放；</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起重作业人员配发玻璃钢制安全帽，经现场抽查，安全帽有LA标识，在有效期内；</w:t>
            </w:r>
          </w:p>
          <w:p>
            <w:pP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人员操作方法合理，并佩带相应的防护措施，如口罩、手套等；操作人员穿戴有工作衣、工作鞋等安全防护用品；</w:t>
            </w:r>
          </w:p>
          <w:p>
            <w:pPr>
              <w:spacing w:line="360" w:lineRule="auto"/>
              <w:ind w:firstLine="420" w:firstLineChars="200"/>
              <w:rPr>
                <w:rFonts w:hint="eastAsia" w:ascii="Times New Roman" w:eastAsia="宋体" w:cs="Times New Roman" w:hAnsiTheme="minorEastAsia"/>
                <w:color w:val="auto"/>
              </w:rPr>
            </w:pPr>
            <w:r>
              <w:rPr>
                <w:rFonts w:hint="eastAsia" w:ascii="Times New Roman" w:hAnsi="Times New Roman" w:eastAsia="宋体" w:cs="Times New Roman"/>
                <w:color w:val="auto"/>
                <w:lang w:val="en-US" w:eastAsia="zh-CN"/>
              </w:rPr>
              <w:t>货物堆放整齐，没有超高堆码的现象；</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办公及生产区域配备有灭火器和消防栓多个，各车间均配有灭火器，并定期检查；</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各车间安全设施设有提示说明，方便取用，未发现遮挡消防设施和挤占消防通道的情况；</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各工序设备运转正常，张挂有操作规程，设备配置有急停按钮、漏电开关，安全防护装置良好；</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全自动喷涂线使用天然气为燃料，安装有天然气探头</w:t>
            </w:r>
            <w:r>
              <w:rPr>
                <w:rFonts w:hint="eastAsia" w:ascii="Times New Roman" w:hAnsi="Times New Roman" w:eastAsia="宋体" w:cs="Times New Roman"/>
                <w:color w:val="auto"/>
                <w:highlight w:val="none"/>
                <w:lang w:val="en-US" w:eastAsia="zh-CN"/>
              </w:rPr>
              <w:t>和气体报警控制器；</w:t>
            </w:r>
          </w:p>
          <w:p>
            <w:pPr>
              <w:spacing w:line="360" w:lineRule="auto"/>
              <w:ind w:firstLine="420" w:firstLineChars="200"/>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喷漆房约2平方米，设有水帘</w:t>
            </w:r>
            <w:r>
              <w:rPr>
                <w:rFonts w:hint="eastAsia" w:cs="Times New Roman" w:hAnsiTheme="minorEastAsia"/>
                <w:color w:val="auto"/>
                <w:lang w:val="en-US" w:eastAsia="zh-CN"/>
              </w:rPr>
              <w:t>，有强制排风管道，加装活性炭吸附装置处理，吸附废气，经处理的废气达标后排放</w:t>
            </w:r>
            <w:r>
              <w:rPr>
                <w:rFonts w:hint="eastAsia" w:ascii="Times New Roman" w:eastAsia="宋体" w:cs="Times New Roman" w:hAnsiTheme="minorEastAsia"/>
                <w:color w:val="auto"/>
                <w:lang w:val="en-US" w:eastAsia="zh-CN"/>
              </w:rPr>
              <w:t>；</w:t>
            </w:r>
          </w:p>
          <w:p>
            <w:pPr>
              <w:spacing w:line="360" w:lineRule="auto"/>
              <w:ind w:firstLine="420" w:firstLineChars="200"/>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作业区域无明显灰尘和异味；</w:t>
            </w:r>
          </w:p>
          <w:p>
            <w:pPr>
              <w:spacing w:line="360" w:lineRule="auto"/>
              <w:ind w:firstLine="420" w:firstLineChars="200"/>
              <w:rPr>
                <w:rFonts w:hint="default" w:ascii="Times New Roman" w:eastAsia="宋体" w:cs="Times New Roman" w:hAnsiTheme="minorEastAsia"/>
                <w:color w:val="auto"/>
                <w:lang w:val="en-US" w:eastAsia="zh-CN"/>
              </w:rPr>
            </w:pPr>
            <w:r>
              <w:rPr>
                <w:rFonts w:hint="eastAsia" w:cs="Times New Roman" w:hAnsiTheme="minorEastAsia"/>
                <w:color w:val="auto"/>
                <w:lang w:val="en-US" w:eastAsia="zh-CN"/>
              </w:rPr>
              <w:t>查见油漆仓库，见油漆原厂铁桶包装，摆放在金属盘内，墙上张贴有防锈漆MSDS，</w:t>
            </w:r>
            <w:r>
              <w:rPr>
                <w:rFonts w:hint="eastAsia" w:hAnsiTheme="minorEastAsia"/>
                <w:lang w:val="en-US" w:eastAsia="zh-CN"/>
              </w:rPr>
              <w:t>库中安装有气体探头，连接至气体报警仪；</w:t>
            </w:r>
          </w:p>
          <w:p>
            <w:pPr>
              <w:spacing w:line="360" w:lineRule="auto"/>
              <w:ind w:firstLine="420" w:firstLineChars="200"/>
              <w:rPr>
                <w:rFonts w:hint="eastAsia" w:ascii="Times New Roman" w:eastAsia="宋体" w:cs="Times New Roman" w:hAnsiTheme="minorEastAsia"/>
                <w:color w:val="auto"/>
                <w:lang w:val="en-US" w:eastAsia="zh-CN"/>
              </w:rPr>
            </w:pPr>
            <w:r>
              <w:rPr>
                <w:rFonts w:hint="eastAsia" w:ascii="Times New Roman" w:eastAsia="宋体" w:cs="Times New Roman" w:hAnsiTheme="minorEastAsia"/>
                <w:color w:val="auto"/>
                <w:lang w:val="en-US" w:eastAsia="zh-CN"/>
              </w:rPr>
              <w:t>配电室门口设有防鼠挡板，配有绝缘手套、绝缘鞋、高压验电笔、安全帽，门口配有灭火器。</w:t>
            </w:r>
          </w:p>
          <w:p>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查见</w:t>
            </w:r>
            <w:r>
              <w:rPr>
                <w:rFonts w:hint="eastAsia" w:ascii="Times New Roman" w:hAnsi="Times New Roman" w:eastAsia="宋体" w:cs="Times New Roman"/>
                <w:color w:val="auto"/>
                <w:highlight w:val="none"/>
                <w:lang w:val="en-US" w:eastAsia="zh-CN"/>
              </w:rPr>
              <w:t>劳保用品发放记录</w:t>
            </w:r>
            <w:r>
              <w:rPr>
                <w:rFonts w:hint="eastAsia" w:cs="Times New Roman"/>
                <w:color w:val="auto"/>
                <w:highlight w:val="none"/>
                <w:lang w:val="en-US" w:eastAsia="zh-CN"/>
              </w:rPr>
              <w:t>，见有领用口罩、耳塞等记录；</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车间有职业危害告知卡，对火灾和噪声伤害进行了告知；</w:t>
            </w:r>
          </w:p>
          <w:p>
            <w:pPr>
              <w:spacing w:line="360" w:lineRule="auto"/>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车间大门上张贴禁止吸烟、当心车辆、限速5KM；</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厂房内操作和选用低噪声的设备和工具，同时加强设备的检查和维保，确保机械设备在正常工况下运行；</w:t>
            </w:r>
          </w:p>
          <w:p>
            <w:pPr>
              <w:spacing w:line="360" w:lineRule="auto"/>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生产车间内现场电线布线合理，一机一盒，接线整齐规范，电线均处于完好状态，设备有接地及保护装置，控制柜及漏电保护器状态良好。</w:t>
            </w:r>
          </w:p>
          <w:p>
            <w:pPr>
              <w:spacing w:line="360" w:lineRule="auto"/>
              <w:ind w:firstLine="420" w:firstLineChars="200"/>
              <w:rPr>
                <w:rFonts w:hint="eastAsia" w:asciiTheme="minorEastAsia" w:hAnsiTheme="minorEastAsia" w:eastAsiaTheme="minorEastAsia" w:cstheme="minorEastAsia"/>
                <w:kern w:val="2"/>
                <w:sz w:val="21"/>
                <w:lang w:val="en-US" w:eastAsia="zh-CN" w:bidi="ar-SA"/>
              </w:rPr>
            </w:pPr>
            <w:r>
              <w:rPr>
                <w:rFonts w:hint="eastAsia" w:hAnsiTheme="minorEastAsia"/>
                <w:color w:val="auto"/>
              </w:rPr>
              <w:t>车间现场在环保和职业健康安全防护方面的控制管理基本有效。</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99"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 w:val="21"/>
                <w:szCs w:val="21"/>
                <w:lang w:val="en-US" w:eastAsia="zh-CN"/>
              </w:rPr>
              <w:t>应急管理</w:t>
            </w:r>
          </w:p>
        </w:tc>
        <w:tc>
          <w:tcPr>
            <w:tcW w:w="1121"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spacing w:val="-6"/>
                <w:kern w:val="2"/>
                <w:sz w:val="21"/>
                <w:szCs w:val="21"/>
                <w:lang w:val="en-US" w:eastAsia="zh-CN" w:bidi="ar-SA"/>
              </w:rPr>
              <w:t>EO:</w:t>
            </w:r>
            <w:r>
              <w:rPr>
                <w:rFonts w:hint="eastAsia" w:asciiTheme="minorEastAsia" w:hAnsiTheme="minorEastAsia" w:eastAsiaTheme="minorEastAsia" w:cstheme="minorEastAsia"/>
                <w:spacing w:val="-6"/>
                <w:sz w:val="21"/>
                <w:szCs w:val="21"/>
              </w:rPr>
              <w:t>8.</w:t>
            </w:r>
            <w:r>
              <w:rPr>
                <w:rFonts w:hint="eastAsia" w:asciiTheme="minorEastAsia" w:hAnsiTheme="minorEastAsia" w:eastAsiaTheme="minorEastAsia" w:cstheme="minorEastAsia"/>
                <w:spacing w:val="-6"/>
                <w:sz w:val="21"/>
                <w:szCs w:val="21"/>
                <w:lang w:val="en-US" w:eastAsia="zh-CN"/>
              </w:rPr>
              <w:t>2</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color w:val="auto"/>
                <w:highlight w:val="none"/>
                <w:lang w:val="en-US" w:eastAsia="zh-CN"/>
              </w:rPr>
            </w:pPr>
            <w:r>
              <w:rPr>
                <w:rFonts w:hint="eastAsia"/>
                <w:color w:val="auto"/>
                <w:highlight w:val="none"/>
                <w:lang w:val="en-US" w:eastAsia="zh-CN"/>
              </w:rPr>
              <w:t>查见“应急准备和响应控制程序”，有效文件，无变化；</w:t>
            </w:r>
          </w:p>
          <w:p>
            <w:pPr>
              <w:pStyle w:val="12"/>
              <w:keepNext w:val="0"/>
              <w:keepLines w:val="0"/>
              <w:pageBreakBefore w:val="0"/>
              <w:widowControl w:val="0"/>
              <w:kinsoku/>
              <w:wordWrap/>
              <w:overflowPunct/>
              <w:topLinePunct w:val="0"/>
              <w:autoSpaceDE/>
              <w:autoSpaceDN/>
              <w:bidi w:val="0"/>
              <w:spacing w:before="0" w:after="0" w:line="360" w:lineRule="auto"/>
              <w:ind w:firstLine="420"/>
              <w:rPr>
                <w:rFonts w:hint="default"/>
                <w:color w:val="auto"/>
                <w:highlight w:val="none"/>
                <w:lang w:val="en-US" w:eastAsia="zh-CN"/>
              </w:rPr>
            </w:pPr>
            <w:r>
              <w:rPr>
                <w:rFonts w:hint="eastAsia"/>
                <w:color w:val="auto"/>
                <w:highlight w:val="none"/>
                <w:lang w:val="en-US" w:eastAsia="zh-CN"/>
              </w:rPr>
              <w:t>查见消防设备设施管理记录，抽见消防栓点检表、灭火器设备点检表，记录每月检查内容和结果；</w:t>
            </w:r>
          </w:p>
          <w:p>
            <w:pPr>
              <w:pStyle w:val="12"/>
              <w:keepNext w:val="0"/>
              <w:keepLines w:val="0"/>
              <w:pageBreakBefore w:val="0"/>
              <w:widowControl w:val="0"/>
              <w:kinsoku/>
              <w:wordWrap/>
              <w:overflowPunct/>
              <w:topLinePunct w:val="0"/>
              <w:autoSpaceDE/>
              <w:autoSpaceDN/>
              <w:bidi w:val="0"/>
              <w:spacing w:before="0" w:after="0" w:line="360" w:lineRule="auto"/>
              <w:ind w:firstLine="420" w:firstLineChars="0"/>
              <w:rPr>
                <w:rFonts w:hint="default"/>
                <w:color w:val="auto"/>
                <w:highlight w:val="none"/>
                <w:lang w:val="en-US" w:eastAsia="zh-CN"/>
              </w:rPr>
            </w:pPr>
            <w:r>
              <w:rPr>
                <w:rFonts w:hint="eastAsia"/>
                <w:color w:val="auto"/>
                <w:highlight w:val="none"/>
                <w:lang w:val="en-US" w:eastAsia="zh-CN"/>
              </w:rPr>
              <w:t>查见2022年应急救援预案演练计划；</w:t>
            </w:r>
          </w:p>
          <w:p>
            <w:pPr>
              <w:pStyle w:val="12"/>
              <w:keepNext w:val="0"/>
              <w:keepLines w:val="0"/>
              <w:pageBreakBefore w:val="0"/>
              <w:widowControl w:val="0"/>
              <w:kinsoku/>
              <w:wordWrap/>
              <w:overflowPunct/>
              <w:topLinePunct w:val="0"/>
              <w:autoSpaceDE/>
              <w:autoSpaceDN/>
              <w:bidi w:val="0"/>
              <w:spacing w:before="0" w:after="0" w:line="360" w:lineRule="auto"/>
              <w:ind w:firstLine="420" w:firstLineChars="0"/>
              <w:rPr>
                <w:rFonts w:hint="eastAsia"/>
                <w:color w:val="auto"/>
                <w:highlight w:val="none"/>
                <w:lang w:val="en-US" w:eastAsia="zh-CN"/>
              </w:rPr>
            </w:pPr>
            <w:r>
              <w:rPr>
                <w:rFonts w:hint="eastAsia"/>
                <w:color w:val="auto"/>
                <w:highlight w:val="none"/>
                <w:lang w:val="en-US" w:eastAsia="zh-CN"/>
              </w:rPr>
              <w:t>查见应急预案演练记录，2022年7月12日，生产部组织各单位人员进行了灭火应急演练，保留了演练方案、签到表、演练照片等记录；</w:t>
            </w:r>
          </w:p>
          <w:p>
            <w:pPr>
              <w:pStyle w:val="12"/>
              <w:keepNext w:val="0"/>
              <w:keepLines w:val="0"/>
              <w:pageBreakBefore w:val="0"/>
              <w:widowControl w:val="0"/>
              <w:kinsoku/>
              <w:wordWrap/>
              <w:overflowPunct/>
              <w:topLinePunct w:val="0"/>
              <w:autoSpaceDE/>
              <w:autoSpaceDN/>
              <w:bidi w:val="0"/>
              <w:spacing w:before="0" w:after="0" w:line="360" w:lineRule="auto"/>
              <w:ind w:firstLine="420" w:firstLineChars="0"/>
              <w:rPr>
                <w:rFonts w:hint="eastAsia"/>
                <w:color w:val="auto"/>
                <w:highlight w:val="none"/>
                <w:lang w:val="en-US" w:eastAsia="zh-CN"/>
              </w:rPr>
            </w:pPr>
            <w:r>
              <w:rPr>
                <w:rFonts w:hint="eastAsia"/>
                <w:color w:val="auto"/>
                <w:highlight w:val="none"/>
                <w:lang w:val="en-US" w:eastAsia="zh-CN"/>
              </w:rPr>
              <w:t>进行了演练总结，提出了存在的问题，并制定了改进措施；</w:t>
            </w:r>
          </w:p>
          <w:p>
            <w:pPr>
              <w:pStyle w:val="12"/>
              <w:keepNext w:val="0"/>
              <w:keepLines w:val="0"/>
              <w:pageBreakBefore w:val="0"/>
              <w:widowControl w:val="0"/>
              <w:kinsoku/>
              <w:wordWrap/>
              <w:overflowPunct/>
              <w:topLinePunct w:val="0"/>
              <w:autoSpaceDE/>
              <w:autoSpaceDN/>
              <w:bidi w:val="0"/>
              <w:spacing w:before="0" w:after="0" w:line="360" w:lineRule="auto"/>
              <w:ind w:firstLine="420" w:firstLineChars="0"/>
              <w:rPr>
                <w:rFonts w:hint="default" w:ascii="Times New Roman" w:hAnsi="Times New Roman" w:eastAsia="宋体" w:cs="Times New Roman"/>
                <w:bCs/>
                <w:spacing w:val="10"/>
                <w:kern w:val="2"/>
                <w:sz w:val="21"/>
                <w:lang w:val="en-US" w:eastAsia="zh-CN" w:bidi="ar-SA"/>
              </w:rPr>
            </w:pPr>
            <w:r>
              <w:rPr>
                <w:rFonts w:hint="eastAsia"/>
                <w:color w:val="auto"/>
                <w:highlight w:val="none"/>
                <w:lang w:val="en-US" w:eastAsia="zh-CN"/>
              </w:rPr>
              <w:t xml:space="preserve">应急管理基本符合。 </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4BE4EBA"/>
    <w:rsid w:val="17C42352"/>
    <w:rsid w:val="3C84589F"/>
    <w:rsid w:val="41C9037E"/>
    <w:rsid w:val="47962357"/>
    <w:rsid w:val="72844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6182</Words>
  <Characters>6694</Characters>
  <Lines>1</Lines>
  <Paragraphs>1</Paragraphs>
  <TotalTime>6</TotalTime>
  <ScaleCrop>false</ScaleCrop>
  <LinksUpToDate>false</LinksUpToDate>
  <CharactersWithSpaces>6748</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2022-10-26T08:57:11Z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A115BD3F5F1C447EA7079B761D957092</vt:lpwstr>
  </property>
  <property fmtid="{D5CDD505-2E9C-101B-9397-08002B2CF9AE}" pid="3" name="KSOProductBuildVer">
    <vt:lpwstr>2052-11.1.0.12759</vt:lpwstr>
  </property>
</Properties>
</file>