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054"/>
        <w:gridCol w:w="1063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6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3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业务部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戈旭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聂勇华</w:t>
            </w:r>
            <w:bookmarkEnd w:id="0"/>
          </w:p>
        </w:tc>
        <w:tc>
          <w:tcPr>
            <w:tcW w:w="95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6" w:type="dxa"/>
            <w:vMerge w:val="continue"/>
            <w:vAlign w:val="center"/>
          </w:tcPr>
          <w:p/>
        </w:tc>
        <w:tc>
          <w:tcPr>
            <w:tcW w:w="1054" w:type="dxa"/>
            <w:vMerge w:val="continue"/>
            <w:vAlign w:val="center"/>
          </w:tcPr>
          <w:p/>
        </w:tc>
        <w:tc>
          <w:tcPr>
            <w:tcW w:w="1063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2022年10月24日</w:t>
            </w:r>
            <w:bookmarkEnd w:id="2"/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6" w:type="dxa"/>
            <w:vMerge w:val="continue"/>
            <w:vAlign w:val="center"/>
          </w:tcPr>
          <w:p/>
        </w:tc>
        <w:tc>
          <w:tcPr>
            <w:tcW w:w="1054" w:type="dxa"/>
            <w:vMerge w:val="continue"/>
            <w:vAlign w:val="center"/>
          </w:tcPr>
          <w:p/>
        </w:tc>
        <w:tc>
          <w:tcPr>
            <w:tcW w:w="1063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Q：5.3组织的岗位、职责和权限、6.2质量目标、8.1运行策划和控制、8.2产品和服务的要求、8.5销售服务过程控制、9.1.2顾客满意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E/O：5.3组织的岗位、职责和权限、6.2环境/职业健康安全目标及措施策划、6.1.2环境因素/危险源辨识与评价识别与评价、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8.1运行策划和控制、8.2应急准备和响应</w:t>
            </w:r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QEO：5.3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业务部现有4人，部长1人，销售人员3人。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市场调研与开发，招投标、商务谈判及合同评审，顾客档案建立，售后服务及顾客满意度评价与分析；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本部门环境因素和危险源识别和控制。</w:t>
            </w:r>
          </w:p>
        </w:tc>
        <w:tc>
          <w:tcPr>
            <w:tcW w:w="95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查见“目标分解考核表”，显示对各部门进行了目标分解，并制定实施措施，业务部目标：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合同履约率达100%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顾客满意度达92分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退换货次数每月≤1次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返修次数每月≤2次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火灾、触电事故为0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保留“目标分解考核表”，半年考核，2022年1-6月目标均已完成。</w:t>
            </w:r>
          </w:p>
        </w:tc>
        <w:tc>
          <w:tcPr>
            <w:tcW w:w="95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6" w:type="dxa"/>
            <w:vAlign w:val="top"/>
          </w:tcPr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</w:t>
            </w:r>
          </w:p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1054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6.1.2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环境因素辨识和评价登记表”，识别考虑了正常、异常、紧急，过去、现在、未来三种时态。涉及业务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采取多因子评价法进行了评价，查到“重要环境因素清单”，经评价业务部的重要环境因素为潜在火灾。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查“危险源辨识、风险评价、风险控制一览表”，识别了业务部办公活动和上下班途中的危险源。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采取D=LEC进行评价，查到“重大危险源清单”，评价出重大危险源包括：触电、火灾、机械伤害、听力损害、人身伤害、吸入性伤害等。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经评价业务部的重大危险源：潜在火灾、触电。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主要控制措施：执行管理方案、配备消防器材、日常检查、培训教育、制定应急预案等运行控制措施等。</w:t>
            </w:r>
          </w:p>
        </w:tc>
        <w:tc>
          <w:tcPr>
            <w:tcW w:w="95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业务部定期组织环保和安全知识培训，员工具备了基本的环保和职业健康安全防护意识；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按公司要求人走关灯，业务部电脑要求人走后电源切断；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节约用水用电、纸张双面使用、禁止吸烟、无乱拉乱接电线、无超额电器使用，经常对电路、电源进行检查，没有露电现象发生；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业务部垃圾主要包含可回收垃圾、硒鼓、废纸。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公司配置了垃圾箱，办公室统一处理。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现场巡视办公区域配备了灭火器和摄像头，状况正常；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向相关方发放《相关方告知书》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对外招投标和业务洽谈时明确承诺公司产品环保、节能、无毒无害。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部门运行控制基本符合要求。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参加公司组织的应急救援演练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，详见生产部审核记录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运行策划和控制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产品和服务的要求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销售过程控制</w:t>
            </w: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Q：8.1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公司策划了：</w:t>
            </w:r>
            <w:r>
              <w:rPr>
                <w:sz w:val="20"/>
              </w:rPr>
              <w:t>骨灰盒存放架、智能型骨灰盒存放架、无电智能骨灰存放架、福寿架、牌位架的生产、销售、售后服务（退换货、投诉处理）；太平柜、瞻仰台、解剖台、骨灰盒存放架远程及现场祭拜管理系统、骨灰盒存放架大数据云管理平台、骨灰盒存放架AI人工智能存放系统、骨灰盒存放架区块链加密系统、智慧殡葬管理系统、智慧寺院管理系统、计算机软硬件的销售、售后服务（退换货、投诉处理）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的过程：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销售过程：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产品要求信息获取—产品要求评审—签订合同—采购—质检—交付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维修流程：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确认退货方式及日期→接收退货产品→对退机检验及维修处理→交付→确认退货原因及纠正预防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经评审，公司销售、焊接、喷涂过程为需要确认的过程；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查见“特殊过程确认单”，2022.9.4，公司从人员、设备、服务标准等方面对销售过程进行了确认；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公司策划了销售过程控制的文件：销售服务规范、管理制度等；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公司策划了对销售过程进行监视测量的要求，并策划了检查表；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公司配备了销售相关的设备，主要是：电脑、打印机、网络、电话等；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介绍说，公司销售业务人员无需特别的资质和能力要求。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公司与顾客的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沟通方式主要是电话、资料传递、招投标会、交流会等形式宣传本公司有关产品及公司的有关信誉等。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查见公司印制的宣传册，介绍公司基本情况和主要销售的产品系列、联系方式等；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现场查见公司展厅面积1500平方米左右，分上下两层，展示了公司各种产品和以往案例的介绍；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目前沟通效果良好。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公司主要通过招标会、客户的走访、交流会等了解市场的需求状态。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介绍说，公司产品主要通过招投标进行销售，中标后签订合同。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查见顾客名录，登记了客户相关信息，抽见销售合同：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1、任丘市殡葬服务中心——2021.10.22，存放架、祭奠系统等；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2、济南市革命烈士陵园——2021.10.28，福寿架、纳骨架、太平柜、瞻仰台、殡葬制冷设备、骨灰盒存放架AI人工智能存放系统（大数据云管理平台）等；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3、广州市荔湾区西望德安楼——2022.4.22，牌位架、万佛墙、智能骨灰存放架、解剖台等；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4、和顺县民政局——2022.5.23，智能远程及现场祭拜系统等；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以上合同明确了规格、型号、数量、金额、质量要求、技术标准、售后服务、违约责任等内容；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保留“合同评审记录表”，以上合同均通过评审后，合同双方签字盖章。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公司销售的产品主要是通过名称、编号、规格型号等进行标识；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公司的顾客财产主要是客户信息，公司对顾客相关信息做相关保密规定，明确了对顾客或外部供方财产的登记、验收、保护、使用等相关要求。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产品主要是利用原厂包装进行防护。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合同中明确了售后服务的要求，公司保持了售后服务管理体系认证证书，交付后活动受控；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售后服务质量检查表，2022.10.19，检查结论均符合；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服务问题记录表，客户名称：铜陵市殡仪馆，接收时间2022.4.13，记录了服务问题信息，进行了问题解析，明确了处理方式，确认部门进行了确认-经一个月跟踪确认，未发生同类事件；客户进行了确认评价并签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另抽见：同江市民政局，同上；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介绍说目前尚未发生合同更改的情况。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销售过程及售后服务过程基本受控。 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客户满意</w:t>
            </w: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 xml:space="preserve">Q9.1.2 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公司编制《顾客满意度控制程序》，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未变化；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2022年7月2日，发放</w:t>
            </w:r>
            <w:r>
              <w:rPr>
                <w:rFonts w:ascii="Times New Roman" w:hAnsi="宋体" w:eastAsia="宋体" w:cs="Times New Roman"/>
                <w:szCs w:val="21"/>
              </w:rPr>
              <w:t>《顾客满意度调查记录表》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12份，回收12份；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查见</w:t>
            </w:r>
            <w:r>
              <w:rPr>
                <w:rFonts w:ascii="Times New Roman" w:hAnsi="宋体" w:eastAsia="宋体" w:cs="Times New Roman"/>
                <w:szCs w:val="21"/>
              </w:rPr>
              <w:t>《顾客满意度调查分析》，</w:t>
            </w:r>
            <w:r>
              <w:rPr>
                <w:rFonts w:hint="eastAsia" w:ascii="Times New Roman" w:hAnsi="宋体" w:eastAsia="宋体" w:cs="Times New Roman"/>
                <w:szCs w:val="21"/>
              </w:rPr>
              <w:t>2022年7月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宋体" w:eastAsia="宋体" w:cs="Times New Roman"/>
                <w:szCs w:val="21"/>
              </w:rPr>
              <w:t>日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，对调查结果进行了统计分析，</w:t>
            </w:r>
            <w:r>
              <w:rPr>
                <w:rFonts w:ascii="Times New Roman" w:hAnsi="宋体" w:eastAsia="宋体" w:cs="Times New Roman"/>
                <w:szCs w:val="21"/>
              </w:rPr>
              <w:t>经评价测算客户满意度</w:t>
            </w:r>
            <w:r>
              <w:rPr>
                <w:rFonts w:hint="eastAsia" w:ascii="Times New Roman" w:hAnsi="宋体" w:eastAsia="宋体" w:cs="Times New Roman"/>
                <w:szCs w:val="21"/>
              </w:rPr>
              <w:t>96.75</w:t>
            </w:r>
            <w:r>
              <w:rPr>
                <w:rFonts w:ascii="Times New Roman" w:hAnsi="宋体" w:eastAsia="宋体" w:cs="Times New Roman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27DD762A"/>
    <w:rsid w:val="56940958"/>
    <w:rsid w:val="65B02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2712</Words>
  <Characters>2878</Characters>
  <Lines>1</Lines>
  <Paragraphs>1</Paragraphs>
  <TotalTime>27</TotalTime>
  <ScaleCrop>false</ScaleCrop>
  <LinksUpToDate>false</LinksUpToDate>
  <CharactersWithSpaces>2927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2022-10-25T03:33:03Z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05977026153743139CFB7425EA5484BA</vt:lpwstr>
  </property>
  <property fmtid="{D5CDD505-2E9C-101B-9397-08002B2CF9AE}" pid="3" name="KSOProductBuildVer">
    <vt:lpwstr>2052-11.1.0.12358</vt:lpwstr>
  </property>
</Properties>
</file>