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涉及</w:t>
            </w:r>
          </w:p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受审核部门：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  <w:highlight w:val="none"/>
                <w:lang w:val="en-US" w:eastAsia="zh-CN"/>
              </w:rPr>
              <w:t>项目：民泰银行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主管领导：</w:t>
            </w:r>
            <w:r>
              <w:rPr>
                <w:rFonts w:hint="eastAsia" w:ascii="华文细黑" w:hAnsi="华文细黑" w:cs="华文细黑"/>
                <w:sz w:val="21"/>
                <w:szCs w:val="21"/>
                <w:lang w:val="en-US" w:eastAsia="zh-CN"/>
              </w:rPr>
              <w:t>关永杰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陪同人员：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黄妍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审核员：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林兵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审核时间：</w:t>
            </w:r>
            <w:bookmarkStart w:id="0" w:name="审核日期"/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2022年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月2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日</w:t>
            </w:r>
            <w:bookmarkEnd w:id="0"/>
            <w:r>
              <w:rPr>
                <w:rFonts w:hint="eastAsia" w:ascii="华文细黑" w:hAnsi="华文细黑" w:cs="华文细黑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华文细黑" w:hAnsi="华文细黑" w:eastAsia="华文细黑" w:cs="华文细黑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1.项目职责与权限；2.目标考核；3.项目服务活动控制；4.项目环境因素和危险源辨识、评价和控制措施情况；5.项目环境与安全运行控制整体情况包括应急准备与响应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Q：8.5.1、8.5.2/8.5.4、8.5.3、8.5.6</w:t>
            </w:r>
          </w:p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EO：6.1.2、8.1、8.2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60" w:type="dxa"/>
          </w:tcPr>
          <w:p>
            <w:pPr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部门职责与权限</w:t>
            </w:r>
          </w:p>
        </w:tc>
        <w:tc>
          <w:tcPr>
            <w:tcW w:w="960" w:type="dxa"/>
          </w:tcPr>
          <w:p>
            <w:pPr>
              <w:rPr>
                <w:rFonts w:hint="default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QEO</w:t>
            </w:r>
            <w:r>
              <w:rPr>
                <w:rFonts w:hint="eastAsia" w:ascii="华文细黑" w:hAnsi="华文细黑" w:cs="华文细黑"/>
                <w:lang w:val="en-US" w:eastAsia="zh-CN"/>
              </w:rPr>
              <w:t>5.3</w:t>
            </w:r>
          </w:p>
        </w:tc>
        <w:tc>
          <w:tcPr>
            <w:tcW w:w="10004" w:type="dxa"/>
          </w:tcPr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民泰银行</w:t>
            </w:r>
            <w:r>
              <w:rPr>
                <w:rFonts w:hint="eastAsia"/>
                <w:color w:val="auto"/>
                <w:lang w:val="en-US" w:eastAsia="zh-CN"/>
              </w:rPr>
              <w:t>位于杭州市余杭区五常街道盛奥铭座1幢。项目人员直接由保安部统管，工作职责主要包括门岗、巡逻和消防安全检查等。</w:t>
            </w:r>
          </w:p>
        </w:tc>
        <w:tc>
          <w:tcPr>
            <w:tcW w:w="1585" w:type="dxa"/>
          </w:tcPr>
          <w:p>
            <w:pPr>
              <w:rPr>
                <w:rFonts w:hint="default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60" w:type="dxa"/>
          </w:tcPr>
          <w:p>
            <w:pPr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目标在职责范围内的分解落实情况</w:t>
            </w:r>
          </w:p>
        </w:tc>
        <w:tc>
          <w:tcPr>
            <w:tcW w:w="960" w:type="dxa"/>
          </w:tcPr>
          <w:p>
            <w:pPr>
              <w:rPr>
                <w:rFonts w:hint="default" w:ascii="华文细黑" w:hAnsi="华文细黑" w:eastAsia="华文细黑" w:cs="华文细黑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QEO</w:t>
            </w:r>
            <w:r>
              <w:rPr>
                <w:rFonts w:hint="eastAsia" w:ascii="华文细黑" w:hAnsi="华文细黑" w:cs="华文细黑"/>
                <w:lang w:val="en-US" w:eastAsia="zh-CN"/>
              </w:rPr>
              <w:t>6.2</w:t>
            </w:r>
          </w:p>
        </w:tc>
        <w:tc>
          <w:tcPr>
            <w:tcW w:w="10004" w:type="dxa"/>
          </w:tcPr>
          <w:p>
            <w:pPr>
              <w:bidi w:val="0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审核发现，涉及项目的QEO目标分解落实情况如下：</w:t>
            </w:r>
          </w:p>
          <w:p>
            <w:pPr>
              <w:bidi w:val="0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1.消防设备检查率≥100%</w:t>
            </w:r>
          </w:p>
          <w:p>
            <w:pPr>
              <w:bidi w:val="0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2.应急演习执行率≥100%</w:t>
            </w:r>
          </w:p>
          <w:p>
            <w:pPr>
              <w:bidi w:val="0"/>
              <w:ind w:firstLine="420" w:firstLineChars="200"/>
              <w:rPr>
                <w:rFonts w:hint="eastAsia" w:eastAsia="华文细黑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3.重大危险伤害事故≤1起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目标可测量，与组织方针一致。抽查近一年项目目标分解落实情况，均达成，基本符合监视要求。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rPr>
                <w:rFonts w:hint="default" w:ascii="华文细黑" w:hAnsi="华文细黑" w:eastAsia="华文细黑" w:cs="华文细黑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cs="华文细黑"/>
                <w:spacing w:val="-6"/>
                <w:sz w:val="21"/>
                <w:szCs w:val="21"/>
                <w:highlight w:val="none"/>
                <w:lang w:val="en-US" w:eastAsia="zh-CN"/>
              </w:rPr>
              <w:t>具体过程运行控制情况</w:t>
            </w:r>
          </w:p>
        </w:tc>
        <w:tc>
          <w:tcPr>
            <w:tcW w:w="960" w:type="dxa"/>
          </w:tcPr>
          <w:p>
            <w:pPr>
              <w:rPr>
                <w:rFonts w:hint="default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Q</w:t>
            </w:r>
            <w:r>
              <w:rPr>
                <w:rFonts w:hint="eastAsia" w:ascii="华文细黑" w:hAnsi="华文细黑" w:cs="华文细黑"/>
                <w:lang w:val="en-US" w:eastAsia="zh-CN"/>
              </w:rPr>
              <w:t>8.5.1/8.5.6</w:t>
            </w:r>
          </w:p>
        </w:tc>
        <w:tc>
          <w:tcPr>
            <w:tcW w:w="10004" w:type="dxa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项目保安配备人员6名，人员配置及其能力基本能满足岗位要求。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项目安保服务过程的监视和测量方式主要是服务质量检查。保安部根据Q8.1准则文件，在日常监视和测量工作中形成了一系列记录文件：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抽查2022.3.22和2022年6月民泰银行的一级检查记录分别如下：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秩序管理部检查方法及评分标准》：检查内容包括仪容仪表、工作环境、工作记录及存档资料、门岗、巡逻岗、监控岗、消防安全、安防管理等；检查评价得分93.84（满分100分）；项目负责人：朱*成；检查人：关永杰。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秩序管理部检查方法及评分标准》：检查内容包括仪容仪表、工作环境、工作记录及存档资料、门岗、巡逻岗、监控岗、消防安全、安防管理等；检查评价得分90.5（满分100分）；项目负责人：朱*成；检查人：关永杰。</w:t>
            </w:r>
          </w:p>
          <w:p>
            <w:pPr>
              <w:spacing w:line="28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项目二级检查（值班/执勤）记录如下：①消防安全检查表：内容部包括：用火用电、燃油燃气管理；安全出口和疏散通道、安全疏散标志和应急照明、消防设施器材和消防安全标志、常闭防火门是否处于关闭状态、防火卷帘下是否堆放物品影响使用、重点部位员工在岗工作情况等；抽查2022.10.1的检查记录显示，巡查人员均有按要求核对检查，未发现异常情况；②消防控制室值班记录表：内容包括火警报警控制器运行情况、控制室内其他消防运行情况等；抽查2022.9.1日吴*超等3人的值班记录显示无异常；③提供安保微信工作群大楼内外及车库周边区域的巡查记录，抽查2022年10月28日5:30及23:00左右的记录显示，均未发现异常情况。</w:t>
            </w:r>
          </w:p>
          <w:p>
            <w:pPr>
              <w:spacing w:line="28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现场查看安保人员白班和夜班值班/执勤和巡逻情况，穿戴整齐，礼仪完整，工器具等完备，设施运转正常，未发现违反《指导手册》的情况发生。</w:t>
            </w:r>
          </w:p>
          <w:p>
            <w:pPr>
              <w:spacing w:line="28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近一年以来，服务过程未发生变更的情况。</w:t>
            </w:r>
          </w:p>
        </w:tc>
        <w:tc>
          <w:tcPr>
            <w:tcW w:w="1585" w:type="dxa"/>
          </w:tcPr>
          <w:p>
            <w:pPr>
              <w:rPr>
                <w:rFonts w:hint="default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16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服务标识与防护</w:t>
            </w:r>
          </w:p>
        </w:tc>
        <w:tc>
          <w:tcPr>
            <w:tcW w:w="960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Q8.5.2/8.5.4</w:t>
            </w:r>
          </w:p>
        </w:tc>
        <w:tc>
          <w:tcPr>
            <w:tcW w:w="10004" w:type="dxa"/>
          </w:tcPr>
          <w:p>
            <w:pPr>
              <w:spacing w:line="28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项目上提供服务的同时，对服务输出进行检查（如二级自查及一级检查等），适当时予以标识（如现场查见消控室设置的挡鼠板上有“未经许可不得去下挡板”的标识，基本同上。）</w:t>
            </w:r>
          </w:p>
          <w:p>
            <w:pPr>
              <w:spacing w:line="28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项目服务中心负责人关永杰介绍，小区安保服务都可以通过值班/执勤记录追溯到当天的服务人员，如若有问题，可通过询问相关人员和调查监控等找出原因，以鉴别、改进人员能力及其服务。</w:t>
            </w:r>
          </w:p>
        </w:tc>
        <w:tc>
          <w:tcPr>
            <w:tcW w:w="1585" w:type="dxa"/>
          </w:tcPr>
          <w:p>
            <w:pPr>
              <w:rPr>
                <w:rFonts w:hint="eastAsia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16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供方、顾客财产识别与防护</w:t>
            </w:r>
          </w:p>
        </w:tc>
        <w:tc>
          <w:tcPr>
            <w:tcW w:w="96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Q8.5.3</w:t>
            </w:r>
          </w:p>
        </w:tc>
        <w:tc>
          <w:tcPr>
            <w:tcW w:w="10004" w:type="dxa"/>
          </w:tcPr>
          <w:p>
            <w:pPr>
              <w:rPr>
                <w:rFonts w:hint="default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现场审核了解到，项目服务中心除劳保用品及办公易耗品等属公司配置外，其它大型公共设施、消防设施设备均是顾客财产。</w:t>
            </w:r>
            <w:r>
              <w:rPr>
                <w:rFonts w:hint="eastAsia"/>
                <w:color w:val="000000"/>
                <w:szCs w:val="21"/>
              </w:rPr>
              <w:t>妥善使用和管理也是属于服务管理中一部分，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组织要求服务人员按合同标准进行维护和保养，审核期间未发现</w:t>
            </w:r>
            <w:r>
              <w:rPr>
                <w:rFonts w:hint="eastAsia"/>
                <w:color w:val="000000"/>
                <w:szCs w:val="21"/>
              </w:rPr>
              <w:t>管理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或使用</w:t>
            </w:r>
            <w:r>
              <w:rPr>
                <w:rFonts w:hint="eastAsia"/>
                <w:color w:val="000000"/>
                <w:szCs w:val="21"/>
              </w:rPr>
              <w:t>不当造成问题的情况。</w:t>
            </w:r>
          </w:p>
        </w:tc>
        <w:tc>
          <w:tcPr>
            <w:tcW w:w="1585" w:type="dxa"/>
          </w:tcPr>
          <w:p>
            <w:pPr>
              <w:rPr>
                <w:rFonts w:hint="eastAsia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项目环境因素和危险源辨识、评价和控制措施情况</w:t>
            </w:r>
          </w:p>
        </w:tc>
        <w:tc>
          <w:tcPr>
            <w:tcW w:w="96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EO6.1.2</w:t>
            </w:r>
          </w:p>
        </w:tc>
        <w:tc>
          <w:tcPr>
            <w:tcW w:w="10004" w:type="dxa"/>
          </w:tcPr>
          <w:p>
            <w:pPr>
              <w:spacing w:line="280" w:lineRule="exact"/>
              <w:ind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组织制定了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《环境因素识别评价控制程序》用以指导进行环境因素的识别、评价，以确定重要环境因素以及对环境因素的定期更新。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组织制定了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《环境因素识别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评价控制程序》用以指导进行环境因素的识别、评价，以确定重要环境因素以及对环境因素的定期更新。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提供了《环境因素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调查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表》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识别的环境因素标明时态、状态和对环境的影响；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识别的环境因素包括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在办公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安保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活动中产生的水、电等消耗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生活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污水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一般固废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排放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潜在火灾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等，识别基本充分。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重要环境因素由</w:t>
            </w:r>
            <w:r>
              <w:rPr>
                <w:rFonts w:hint="eastAsia"/>
                <w:color w:val="auto"/>
                <w:szCs w:val="21"/>
                <w:lang w:eastAsia="zh-CN"/>
              </w:rPr>
              <w:t>综合办公室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统计综合评分方法确定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提供了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重要环境因素清单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》，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组织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重要环境因素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如下：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3"/>
              <w:gridCol w:w="1978"/>
              <w:gridCol w:w="2156"/>
              <w:gridCol w:w="2341"/>
              <w:gridCol w:w="1263"/>
              <w:gridCol w:w="13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693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center"/>
                    <w:rPr>
                      <w:rFonts w:hint="eastAsia" w:ascii="华文细黑" w:hAnsi="华文细黑" w:eastAsia="华文细黑" w:cs="华文细黑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978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both"/>
                    <w:rPr>
                      <w:rFonts w:hint="eastAsia" w:ascii="华文细黑" w:hAnsi="华文细黑" w:eastAsia="华文细黑" w:cs="华文细黑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环境因素</w:t>
                  </w: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156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center"/>
                    <w:rPr>
                      <w:rFonts w:hint="eastAsia" w:ascii="华文细黑" w:hAnsi="华文细黑" w:eastAsia="华文细黑" w:cs="华文细黑"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Cs/>
                      <w:sz w:val="21"/>
                      <w:szCs w:val="21"/>
                      <w:lang w:eastAsia="zh-CN"/>
                    </w:rPr>
                    <w:t>发生部位</w:t>
                  </w:r>
                </w:p>
              </w:tc>
              <w:tc>
                <w:tcPr>
                  <w:tcW w:w="2341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center"/>
                    <w:rPr>
                      <w:rFonts w:hint="eastAsia" w:ascii="华文细黑" w:hAnsi="华文细黑" w:eastAsia="华文细黑" w:cs="华文细黑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eastAsia="zh-CN"/>
                    </w:rPr>
                    <w:t>环境影响</w:t>
                  </w: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/性质</w:t>
                  </w:r>
                </w:p>
              </w:tc>
              <w:tc>
                <w:tcPr>
                  <w:tcW w:w="1263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both"/>
                    <w:rPr>
                      <w:rFonts w:hint="eastAsia" w:ascii="华文细黑" w:hAnsi="华文细黑" w:eastAsia="华文细黑" w:cs="华文细黑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时态/状态</w:t>
                  </w:r>
                </w:p>
              </w:tc>
              <w:tc>
                <w:tcPr>
                  <w:tcW w:w="1346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center"/>
                    <w:rPr>
                      <w:rFonts w:hint="eastAsia" w:ascii="华文细黑" w:hAnsi="华文细黑" w:eastAsia="华文细黑" w:cs="华文细黑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管理方式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3" w:hRule="atLeast"/>
              </w:trPr>
              <w:tc>
                <w:tcPr>
                  <w:tcW w:w="693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center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1978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lef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固</w:t>
                  </w: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eastAsia="zh-CN"/>
                    </w:rPr>
                    <w:t>废（墨盒、硒鼓、灯管）排放</w:t>
                  </w:r>
                </w:p>
              </w:tc>
              <w:tc>
                <w:tcPr>
                  <w:tcW w:w="2156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办公</w:t>
                  </w:r>
                </w:p>
              </w:tc>
              <w:tc>
                <w:tcPr>
                  <w:tcW w:w="2341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土壤污染等/固废排放</w:t>
                  </w:r>
                </w:p>
              </w:tc>
              <w:tc>
                <w:tcPr>
                  <w:tcW w:w="1263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现在/正常</w:t>
                  </w:r>
                </w:p>
              </w:tc>
              <w:tc>
                <w:tcPr>
                  <w:tcW w:w="1346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按管理</w:t>
                  </w: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eastAsia="zh-CN"/>
                    </w:rPr>
                    <w:t>方案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693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center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1978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eastAsia="zh-CN"/>
                    </w:rPr>
                    <w:t>火灾发生</w:t>
                  </w:r>
                </w:p>
              </w:tc>
              <w:tc>
                <w:tcPr>
                  <w:tcW w:w="2156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办公场所</w:t>
                  </w:r>
                </w:p>
              </w:tc>
              <w:tc>
                <w:tcPr>
                  <w:tcW w:w="2341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大气污染/</w:t>
                  </w: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臭氧层破坏</w:t>
                  </w:r>
                </w:p>
              </w:tc>
              <w:tc>
                <w:tcPr>
                  <w:tcW w:w="1263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将来/异常</w:t>
                  </w:r>
                </w:p>
              </w:tc>
              <w:tc>
                <w:tcPr>
                  <w:tcW w:w="1346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按管理</w:t>
                  </w: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eastAsia="zh-CN"/>
                    </w:rPr>
                    <w:t>方案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693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jc w:val="center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978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能源、资源的消耗</w:t>
                  </w:r>
                </w:p>
              </w:tc>
              <w:tc>
                <w:tcPr>
                  <w:tcW w:w="2156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eastAsia="zh-CN"/>
                    </w:rPr>
                    <w:t>办公</w:t>
                  </w: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现场、后勤生活</w:t>
                  </w: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 xml:space="preserve">   </w:t>
                  </w:r>
                </w:p>
              </w:tc>
              <w:tc>
                <w:tcPr>
                  <w:tcW w:w="2341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水、电资源</w:t>
                  </w: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消耗</w:t>
                  </w:r>
                </w:p>
              </w:tc>
              <w:tc>
                <w:tcPr>
                  <w:tcW w:w="1263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</w:rPr>
                    <w:t>现在/正常</w:t>
                  </w:r>
                </w:p>
              </w:tc>
              <w:tc>
                <w:tcPr>
                  <w:tcW w:w="1346" w:type="dxa"/>
                  <w:noWrap w:val="0"/>
                  <w:vAlign w:val="center"/>
                </w:tcPr>
                <w:p>
                  <w:pPr>
                    <w:spacing w:before="109" w:beforeLines="35" w:after="109" w:afterLines="35" w:line="0" w:lineRule="atLeast"/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sz w:val="21"/>
                      <w:szCs w:val="21"/>
                      <w:lang w:val="en-US" w:eastAsia="zh-CN"/>
                    </w:rPr>
                    <w:t>按管理制度</w:t>
                  </w:r>
                </w:p>
              </w:tc>
            </w:tr>
          </w:tbl>
          <w:p>
            <w:pPr>
              <w:spacing w:line="280" w:lineRule="exact"/>
              <w:ind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识别的重要环境因素内容基本无变化，监视和评审日期：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组织制定了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《危险源辨识、风险评价控制程序》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以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确保在所有管理活动或服务过程中能最大限度、充分地进行危险源辨识与风险性评价，确定不可接受风险并及时更新，实现对危险源与不可接受风险的有效控制。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提供了《危险源辨识、风险评价、控制策划一览表》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识别的危险源包括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在办公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安保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活动中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发生的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火灾和意外伤亡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，以确定控制措施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识别基本充分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提供了《不可接受职业健康安全风险清单》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：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"/>
              <w:gridCol w:w="382"/>
              <w:gridCol w:w="1889"/>
              <w:gridCol w:w="1093"/>
              <w:gridCol w:w="1251"/>
              <w:gridCol w:w="3129"/>
              <w:gridCol w:w="14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53" w:hRule="atLeast"/>
                <w:jc w:val="center"/>
              </w:trPr>
              <w:tc>
                <w:tcPr>
                  <w:tcW w:w="388" w:type="dxa"/>
                  <w:gridSpan w:val="2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 xml:space="preserve">          序号</w:t>
                  </w:r>
                </w:p>
              </w:tc>
              <w:tc>
                <w:tcPr>
                  <w:tcW w:w="1889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pacing w:val="5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pacing w:val="5"/>
                      <w:kern w:val="0"/>
                      <w:sz w:val="21"/>
                      <w:szCs w:val="21"/>
                    </w:rPr>
                    <w:t>来源</w:t>
                  </w:r>
                </w:p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pacing w:val="5"/>
                      <w:kern w:val="0"/>
                      <w:sz w:val="21"/>
                      <w:szCs w:val="21"/>
                    </w:rPr>
                    <w:t>(活动)</w:t>
                  </w:r>
                </w:p>
              </w:tc>
              <w:tc>
                <w:tcPr>
                  <w:tcW w:w="1093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不可接受风险</w:t>
                  </w:r>
                </w:p>
              </w:tc>
              <w:tc>
                <w:tcPr>
                  <w:tcW w:w="1251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危险</w:t>
                  </w:r>
                </w:p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类型</w:t>
                  </w:r>
                </w:p>
              </w:tc>
              <w:tc>
                <w:tcPr>
                  <w:tcW w:w="3129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控制措施</w:t>
                  </w:r>
                </w:p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13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6" w:type="dxa"/>
                <w:cantSplit/>
                <w:trHeight w:val="953" w:hRule="atLeast"/>
                <w:jc w:val="center"/>
              </w:trPr>
              <w:tc>
                <w:tcPr>
                  <w:tcW w:w="382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1889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抽烟、焚烧、电线短路等火源</w:t>
                  </w:r>
                </w:p>
              </w:tc>
              <w:tc>
                <w:tcPr>
                  <w:tcW w:w="1093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火灾</w:t>
                  </w:r>
                </w:p>
              </w:tc>
              <w:tc>
                <w:tcPr>
                  <w:tcW w:w="1251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人身伤害</w:t>
                  </w:r>
                </w:p>
              </w:tc>
              <w:tc>
                <w:tcPr>
                  <w:tcW w:w="3129" w:type="dxa"/>
                  <w:noWrap w:val="0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pacing w:val="3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pacing w:val="3"/>
                      <w:kern w:val="0"/>
                      <w:sz w:val="21"/>
                      <w:szCs w:val="21"/>
                    </w:rPr>
                    <w:t>1加强消防巡检</w:t>
                  </w:r>
                </w:p>
                <w:p>
                  <w:pPr>
                    <w:spacing w:line="360" w:lineRule="auto"/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pacing w:val="3"/>
                      <w:kern w:val="0"/>
                      <w:sz w:val="21"/>
                      <w:szCs w:val="21"/>
                    </w:rPr>
                    <w:t>2制定应对预案、演习、评审</w:t>
                  </w:r>
                </w:p>
              </w:tc>
              <w:tc>
                <w:tcPr>
                  <w:tcW w:w="1413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预案+演练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6" w:type="dxa"/>
                <w:cantSplit/>
                <w:trHeight w:val="649" w:hRule="atLeast"/>
                <w:jc w:val="center"/>
              </w:trPr>
              <w:tc>
                <w:tcPr>
                  <w:tcW w:w="382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1889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人为治安、盗窃</w:t>
                  </w: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  <w:lang w:val="en-US" w:eastAsia="zh-CN"/>
                    </w:rPr>
                    <w:t>暴力伤害</w:t>
                  </w:r>
                </w:p>
              </w:tc>
              <w:tc>
                <w:tcPr>
                  <w:tcW w:w="1093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伤害、伤亡</w:t>
                  </w:r>
                </w:p>
              </w:tc>
              <w:tc>
                <w:tcPr>
                  <w:tcW w:w="1251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人身伤害</w:t>
                  </w:r>
                </w:p>
              </w:tc>
              <w:tc>
                <w:tcPr>
                  <w:tcW w:w="3129" w:type="dxa"/>
                  <w:noWrap w:val="0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pacing w:val="3"/>
                      <w:kern w:val="0"/>
                      <w:sz w:val="21"/>
                      <w:szCs w:val="21"/>
                    </w:rPr>
                    <w:t>制定应对预案</w:t>
                  </w:r>
                </w:p>
              </w:tc>
              <w:tc>
                <w:tcPr>
                  <w:tcW w:w="1413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sz w:val="21"/>
                      <w:szCs w:val="21"/>
                    </w:rPr>
                    <w:t>检查</w:t>
                  </w:r>
                </w:p>
              </w:tc>
            </w:tr>
          </w:tbl>
          <w:p>
            <w:pPr>
              <w:spacing w:line="280" w:lineRule="exact"/>
              <w:ind w:firstLine="420" w:firstLineChars="200"/>
              <w:jc w:val="left"/>
              <w:rPr>
                <w:color w:val="FF0000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识别的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内容无变化，监视和评审日期：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hint="eastAsia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环境与安全运行控制整体情况</w:t>
            </w:r>
          </w:p>
        </w:tc>
        <w:tc>
          <w:tcPr>
            <w:tcW w:w="960" w:type="dxa"/>
          </w:tcPr>
          <w:p>
            <w:pPr>
              <w:rPr>
                <w:rFonts w:hint="default" w:ascii="华文细黑" w:hAnsi="华文细黑" w:cs="华文细黑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cs="华文细黑"/>
                <w:spacing w:val="-6"/>
                <w:sz w:val="21"/>
                <w:szCs w:val="21"/>
                <w:highlight w:val="none"/>
                <w:lang w:val="en-US" w:eastAsia="zh-CN"/>
              </w:rPr>
              <w:t>EO8.1</w:t>
            </w:r>
          </w:p>
        </w:tc>
        <w:tc>
          <w:tcPr>
            <w:tcW w:w="10004" w:type="dxa"/>
          </w:tcPr>
          <w:p>
            <w:pPr>
              <w:spacing w:line="240" w:lineRule="auto"/>
              <w:ind w:firstLine="420" w:firstLineChars="200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现场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审核发现，组织相应环境和职业健康安全运行过程控制如下：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固废管控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主要为</w:t>
            </w:r>
            <w:r>
              <w:rPr>
                <w:rFonts w:hint="eastAsia"/>
                <w:color w:val="auto"/>
                <w:lang w:val="en-US" w:eastAsia="zh-CN"/>
              </w:rPr>
              <w:t>办公和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生活垃圾，</w:t>
            </w:r>
            <w:r>
              <w:rPr>
                <w:rFonts w:hint="eastAsia"/>
                <w:color w:val="auto"/>
                <w:lang w:val="en-US" w:eastAsia="zh-CN"/>
              </w:rPr>
              <w:t>有垃圾分类设施设备，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由市政环卫</w:t>
            </w:r>
            <w:r>
              <w:rPr>
                <w:rFonts w:hint="eastAsia"/>
                <w:color w:val="auto"/>
                <w:lang w:val="en-US" w:eastAsia="zh-CN"/>
              </w:rPr>
              <w:t>统一收集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处理。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废水管控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主要生活废水排入政府污水管网统一处理。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3.废气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服务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过程</w:t>
            </w:r>
            <w:r>
              <w:rPr>
                <w:rFonts w:hint="eastAsia"/>
                <w:color w:val="auto"/>
                <w:lang w:val="en-US" w:eastAsia="zh-CN"/>
              </w:rPr>
              <w:t>及相应管理活动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无废气产生。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4.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能源资源管控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办公及服务活动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注意节水、节电、节油，人走关闭开关，未发现有漏水和浪费电能</w:t>
            </w:r>
            <w:r>
              <w:rPr>
                <w:rFonts w:hint="eastAsia"/>
                <w:color w:val="auto"/>
                <w:lang w:val="en-US" w:eastAsia="zh-CN"/>
              </w:rPr>
              <w:t>等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现象。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5.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潜在火灾管控</w:t>
            </w:r>
          </w:p>
          <w:p>
            <w:pPr>
              <w:spacing w:line="240" w:lineRule="auto"/>
              <w:ind w:firstLine="420" w:firstLineChars="200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银行各区域按要求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配备了消防栓</w:t>
            </w:r>
            <w:r>
              <w:rPr>
                <w:rFonts w:hint="eastAsia"/>
                <w:color w:val="auto"/>
                <w:lang w:val="en-US"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灭火器</w:t>
            </w:r>
            <w:r>
              <w:rPr>
                <w:rFonts w:hint="eastAsia"/>
                <w:color w:val="auto"/>
                <w:lang w:val="en-US" w:eastAsia="zh-CN"/>
              </w:rPr>
              <w:t>和消防报警系统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，状态有效，维护检查符合要求。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6.触电安全防护：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现场</w:t>
            </w:r>
            <w:r>
              <w:rPr>
                <w:rFonts w:hint="eastAsia"/>
                <w:color w:val="auto"/>
                <w:lang w:val="en-US" w:eastAsia="zh-CN"/>
              </w:rPr>
              <w:t>电气设施等都有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漏电保护器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状态良好。</w:t>
            </w:r>
          </w:p>
          <w:p>
            <w:pPr>
              <w:spacing w:line="240" w:lineRule="auto"/>
              <w:ind w:firstLine="420" w:firstLineChars="200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7.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安全防护</w:t>
            </w:r>
          </w:p>
          <w:p>
            <w:pPr>
              <w:ind w:firstLine="420" w:firstLineChars="200"/>
              <w:rPr>
                <w:color w:val="FF0000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疫情期间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进出</w:t>
            </w:r>
            <w:r>
              <w:rPr>
                <w:rFonts w:hint="eastAsia"/>
                <w:color w:val="auto"/>
                <w:lang w:val="en-US" w:eastAsia="zh-CN"/>
              </w:rPr>
              <w:t>银行人</w:t>
            </w:r>
            <w:bookmarkStart w:id="1" w:name="_GoBack"/>
            <w:bookmarkEnd w:id="1"/>
            <w:r>
              <w:rPr>
                <w:rFonts w:hint="eastAsia" w:ascii="Times New Roman" w:hAnsi="Times New Roman"/>
                <w:color w:val="auto"/>
                <w:lang w:eastAsia="zh-CN"/>
              </w:rPr>
              <w:t>员进行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体温检查，扫码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登记，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查看双码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组织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给员工发放口罩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手套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等劳保用品；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夏天给员工配备防暑药品如藿香口服液等。</w:t>
            </w:r>
          </w:p>
        </w:tc>
        <w:tc>
          <w:tcPr>
            <w:tcW w:w="1585" w:type="dxa"/>
          </w:tcPr>
          <w:p>
            <w:pPr>
              <w:rPr>
                <w:rFonts w:hint="eastAsia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160" w:type="dxa"/>
          </w:tcPr>
          <w:p>
            <w:pPr>
              <w:rPr>
                <w:rFonts w:hint="default" w:ascii="华文细黑" w:hAnsi="华文细黑" w:cs="华文细黑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cs="华文细黑"/>
                <w:spacing w:val="-6"/>
                <w:sz w:val="21"/>
                <w:szCs w:val="21"/>
                <w:highlight w:val="none"/>
                <w:lang w:val="en-US" w:eastAsia="zh-CN"/>
              </w:rPr>
              <w:t>应急准备与响应</w:t>
            </w:r>
          </w:p>
        </w:tc>
        <w:tc>
          <w:tcPr>
            <w:tcW w:w="960" w:type="dxa"/>
          </w:tcPr>
          <w:p>
            <w:pPr>
              <w:rPr>
                <w:rFonts w:hint="default" w:ascii="华文细黑" w:hAnsi="华文细黑" w:eastAsia="华文细黑" w:cs="华文细黑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cs="华文细黑"/>
                <w:spacing w:val="-6"/>
                <w:sz w:val="21"/>
                <w:szCs w:val="21"/>
                <w:highlight w:val="none"/>
                <w:lang w:val="en-US" w:eastAsia="zh-CN"/>
              </w:rPr>
              <w:t>EO8.2</w:t>
            </w:r>
          </w:p>
        </w:tc>
        <w:tc>
          <w:tcPr>
            <w:tcW w:w="10004" w:type="dxa"/>
          </w:tcPr>
          <w:p>
            <w:pPr>
              <w:spacing w:line="280" w:lineRule="exact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组织</w:t>
            </w:r>
            <w:r>
              <w:rPr>
                <w:rFonts w:hint="eastAsia"/>
                <w:color w:val="auto"/>
                <w:szCs w:val="21"/>
              </w:rPr>
              <w:t>编制了《应急准备和响应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控制</w:t>
            </w:r>
            <w:r>
              <w:rPr>
                <w:rFonts w:hint="eastAsia"/>
                <w:color w:val="auto"/>
                <w:szCs w:val="21"/>
              </w:rPr>
              <w:t>程序》，查看内容基本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无变化，</w:t>
            </w:r>
            <w:r>
              <w:rPr>
                <w:rFonts w:hint="eastAsia"/>
                <w:color w:val="auto"/>
                <w:szCs w:val="21"/>
              </w:rPr>
              <w:t>符合要求。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组织根据程序要求结合实际</w:t>
            </w:r>
            <w:r>
              <w:rPr>
                <w:rFonts w:hint="eastAsia"/>
                <w:color w:val="auto"/>
                <w:szCs w:val="21"/>
              </w:rPr>
              <w:t>策划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了</w:t>
            </w:r>
            <w:r>
              <w:rPr>
                <w:rFonts w:hint="eastAsia"/>
                <w:color w:val="auto"/>
                <w:szCs w:val="21"/>
              </w:rPr>
              <w:t>应急预案包括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火灾应急预案、盗窃处理预案、防汛防台应急预案、突发停电应急预案、意外伤亡应急预案、车辆管理应急预案、疫情防控应急预案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等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基本合理。在体系运行期间没有发生异常情况。</w:t>
            </w:r>
          </w:p>
          <w:p>
            <w:pPr>
              <w:spacing w:line="280" w:lineRule="exact"/>
              <w:ind w:firstLine="420" w:firstLineChars="200"/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查消防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和防暴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演练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记录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：演练时间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：2022年6月15日；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地点：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民泰银行门口和大厅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；参加人员：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项目所有服务人员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等；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提供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演练过程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照片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，并对预案的有效性进行了评价。</w:t>
            </w:r>
          </w:p>
          <w:p>
            <w:pPr>
              <w:ind w:firstLine="420" w:firstLineChars="200"/>
              <w:rPr>
                <w:rFonts w:hint="default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图左：消防演练            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图右：防暴演习 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1860550" cy="1320165"/>
                  <wp:effectExtent l="0" t="0" r="6350" b="63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456180" cy="1319530"/>
                  <wp:effectExtent l="0" t="0" r="7620" b="127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18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0" w:firstLineChars="200"/>
              <w:rPr>
                <w:color w:val="FF0000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截止审核期间，项目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未发生火灾、触电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、治安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等人身伤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亡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事故。</w:t>
            </w:r>
          </w:p>
        </w:tc>
        <w:tc>
          <w:tcPr>
            <w:tcW w:w="1585" w:type="dxa"/>
          </w:tcPr>
          <w:p>
            <w:pPr>
              <w:rPr>
                <w:rFonts w:hint="eastAsia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>
      <w:pPr>
        <w:pStyle w:val="5"/>
      </w:pPr>
      <w:r>
        <w:rPr>
          <w:rFonts w:hint="eastAsia"/>
          <w:lang w:val="en-US" w:eastAsia="zh-CN"/>
        </w:rPr>
        <w:t>说</w:t>
      </w:r>
      <w:r>
        <w:rPr>
          <w:rFonts w:hint="eastAsia"/>
        </w:rPr>
        <w:t>明：</w:t>
      </w:r>
      <w:r>
        <w:rPr>
          <w:rFonts w:hint="eastAsia"/>
          <w:lang w:val="en-US" w:eastAsia="zh-CN"/>
        </w:rPr>
        <w:t>符合标注Y，</w:t>
      </w:r>
      <w:r>
        <w:rPr>
          <w:rFonts w:hint="eastAsia"/>
        </w:rPr>
        <w:t>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1907996"/>
    <w:rsid w:val="02DA63DE"/>
    <w:rsid w:val="03732BA6"/>
    <w:rsid w:val="03757A44"/>
    <w:rsid w:val="0388148E"/>
    <w:rsid w:val="046E624C"/>
    <w:rsid w:val="049E1661"/>
    <w:rsid w:val="04C64537"/>
    <w:rsid w:val="04F8572C"/>
    <w:rsid w:val="05184F9C"/>
    <w:rsid w:val="06397D1A"/>
    <w:rsid w:val="06BC6527"/>
    <w:rsid w:val="06BF09A4"/>
    <w:rsid w:val="08111DB2"/>
    <w:rsid w:val="087A4FBF"/>
    <w:rsid w:val="08DF02AB"/>
    <w:rsid w:val="09313B11"/>
    <w:rsid w:val="09582DA3"/>
    <w:rsid w:val="098D7D07"/>
    <w:rsid w:val="09C342AE"/>
    <w:rsid w:val="0ADD081A"/>
    <w:rsid w:val="0B964DA6"/>
    <w:rsid w:val="0C0E5738"/>
    <w:rsid w:val="0C2B1A59"/>
    <w:rsid w:val="0DE16873"/>
    <w:rsid w:val="0E651252"/>
    <w:rsid w:val="107C5A41"/>
    <w:rsid w:val="10CC55B8"/>
    <w:rsid w:val="115433C3"/>
    <w:rsid w:val="118A7DBE"/>
    <w:rsid w:val="121865DB"/>
    <w:rsid w:val="122146FC"/>
    <w:rsid w:val="12320AD3"/>
    <w:rsid w:val="132B25F4"/>
    <w:rsid w:val="133523CD"/>
    <w:rsid w:val="136715C8"/>
    <w:rsid w:val="14910533"/>
    <w:rsid w:val="155C53B3"/>
    <w:rsid w:val="1578154F"/>
    <w:rsid w:val="16BF6B65"/>
    <w:rsid w:val="16D54659"/>
    <w:rsid w:val="174B50CF"/>
    <w:rsid w:val="17C0399D"/>
    <w:rsid w:val="183D4FEE"/>
    <w:rsid w:val="184D216A"/>
    <w:rsid w:val="18954E2A"/>
    <w:rsid w:val="18B03A11"/>
    <w:rsid w:val="18E303F6"/>
    <w:rsid w:val="196C0A5A"/>
    <w:rsid w:val="198E6496"/>
    <w:rsid w:val="1A203046"/>
    <w:rsid w:val="1A753177"/>
    <w:rsid w:val="1C752C38"/>
    <w:rsid w:val="1CA8319C"/>
    <w:rsid w:val="1D2B76A7"/>
    <w:rsid w:val="1D7E63B6"/>
    <w:rsid w:val="1DD62C9D"/>
    <w:rsid w:val="1DD737EE"/>
    <w:rsid w:val="1E4C7D38"/>
    <w:rsid w:val="1EAA4A5F"/>
    <w:rsid w:val="1F910CAB"/>
    <w:rsid w:val="205A49AA"/>
    <w:rsid w:val="22CC250D"/>
    <w:rsid w:val="237D4962"/>
    <w:rsid w:val="23A3664D"/>
    <w:rsid w:val="254A2AF8"/>
    <w:rsid w:val="25B56073"/>
    <w:rsid w:val="25F93317"/>
    <w:rsid w:val="26355140"/>
    <w:rsid w:val="26663961"/>
    <w:rsid w:val="271F01AD"/>
    <w:rsid w:val="27691B9F"/>
    <w:rsid w:val="27F741D4"/>
    <w:rsid w:val="287158E1"/>
    <w:rsid w:val="287B263B"/>
    <w:rsid w:val="2977525D"/>
    <w:rsid w:val="299501EC"/>
    <w:rsid w:val="2A172DFB"/>
    <w:rsid w:val="2A1C0F07"/>
    <w:rsid w:val="2A8C1091"/>
    <w:rsid w:val="2AC96F4D"/>
    <w:rsid w:val="2B1C52A2"/>
    <w:rsid w:val="2B595843"/>
    <w:rsid w:val="2B8F1669"/>
    <w:rsid w:val="2BC26703"/>
    <w:rsid w:val="2C4219EE"/>
    <w:rsid w:val="2CBF045B"/>
    <w:rsid w:val="2CF577ED"/>
    <w:rsid w:val="2DD702D0"/>
    <w:rsid w:val="2E297413"/>
    <w:rsid w:val="2ED81174"/>
    <w:rsid w:val="2F271628"/>
    <w:rsid w:val="2F5C0D20"/>
    <w:rsid w:val="304F5466"/>
    <w:rsid w:val="31DA1C8B"/>
    <w:rsid w:val="32A97FE8"/>
    <w:rsid w:val="32F75BD9"/>
    <w:rsid w:val="345160B9"/>
    <w:rsid w:val="347E7606"/>
    <w:rsid w:val="34F36D08"/>
    <w:rsid w:val="35727C2D"/>
    <w:rsid w:val="363B10E4"/>
    <w:rsid w:val="367223C9"/>
    <w:rsid w:val="36E801D3"/>
    <w:rsid w:val="372318F0"/>
    <w:rsid w:val="375E74AA"/>
    <w:rsid w:val="37AD3199"/>
    <w:rsid w:val="383E6692"/>
    <w:rsid w:val="39972046"/>
    <w:rsid w:val="3C345B6C"/>
    <w:rsid w:val="3C4D400B"/>
    <w:rsid w:val="3C922A41"/>
    <w:rsid w:val="3CDA3196"/>
    <w:rsid w:val="3CF5326E"/>
    <w:rsid w:val="3D8F3346"/>
    <w:rsid w:val="3D9B281B"/>
    <w:rsid w:val="3E667A57"/>
    <w:rsid w:val="3E7D047A"/>
    <w:rsid w:val="3F8D0A1C"/>
    <w:rsid w:val="3FA52DF7"/>
    <w:rsid w:val="3FC172DE"/>
    <w:rsid w:val="402E5143"/>
    <w:rsid w:val="40A35027"/>
    <w:rsid w:val="4144322E"/>
    <w:rsid w:val="417A58FB"/>
    <w:rsid w:val="42B60C1B"/>
    <w:rsid w:val="43657023"/>
    <w:rsid w:val="43CA42B0"/>
    <w:rsid w:val="44872FC9"/>
    <w:rsid w:val="44A21BB1"/>
    <w:rsid w:val="455769C5"/>
    <w:rsid w:val="45E87EEF"/>
    <w:rsid w:val="465D66D7"/>
    <w:rsid w:val="46B2620F"/>
    <w:rsid w:val="46E06CAC"/>
    <w:rsid w:val="47AE0793"/>
    <w:rsid w:val="47F170D7"/>
    <w:rsid w:val="483B6E10"/>
    <w:rsid w:val="488D7778"/>
    <w:rsid w:val="49AD2339"/>
    <w:rsid w:val="4C2D26A8"/>
    <w:rsid w:val="4D36739D"/>
    <w:rsid w:val="4D4617E1"/>
    <w:rsid w:val="4E4C7F4F"/>
    <w:rsid w:val="4E5151F8"/>
    <w:rsid w:val="4ED07129"/>
    <w:rsid w:val="4F5A694A"/>
    <w:rsid w:val="4FB1539E"/>
    <w:rsid w:val="508E7F6F"/>
    <w:rsid w:val="521040E7"/>
    <w:rsid w:val="52367E0C"/>
    <w:rsid w:val="527230C0"/>
    <w:rsid w:val="528E574C"/>
    <w:rsid w:val="52B54662"/>
    <w:rsid w:val="561245D0"/>
    <w:rsid w:val="56341C1D"/>
    <w:rsid w:val="56A83B38"/>
    <w:rsid w:val="56D43112"/>
    <w:rsid w:val="57BE4AFC"/>
    <w:rsid w:val="59E60000"/>
    <w:rsid w:val="59F93B19"/>
    <w:rsid w:val="5A0C4788"/>
    <w:rsid w:val="5A4A4CDF"/>
    <w:rsid w:val="5A841270"/>
    <w:rsid w:val="5A910CA3"/>
    <w:rsid w:val="5AEB51CD"/>
    <w:rsid w:val="5B7413A0"/>
    <w:rsid w:val="5B803268"/>
    <w:rsid w:val="5C357C0E"/>
    <w:rsid w:val="5D0E4DF8"/>
    <w:rsid w:val="5D2245DB"/>
    <w:rsid w:val="5DA052A8"/>
    <w:rsid w:val="5E0B4267"/>
    <w:rsid w:val="5E577C9D"/>
    <w:rsid w:val="5E687A90"/>
    <w:rsid w:val="5E882B2D"/>
    <w:rsid w:val="5E8878D3"/>
    <w:rsid w:val="5EF13A09"/>
    <w:rsid w:val="609D5331"/>
    <w:rsid w:val="60DE34EB"/>
    <w:rsid w:val="61ED3AE4"/>
    <w:rsid w:val="62200FE9"/>
    <w:rsid w:val="643F3995"/>
    <w:rsid w:val="653B37AA"/>
    <w:rsid w:val="65D93619"/>
    <w:rsid w:val="665769F8"/>
    <w:rsid w:val="669C65C9"/>
    <w:rsid w:val="66E85E46"/>
    <w:rsid w:val="67662C42"/>
    <w:rsid w:val="684F1CD8"/>
    <w:rsid w:val="693823B6"/>
    <w:rsid w:val="6A2D45F4"/>
    <w:rsid w:val="6B714433"/>
    <w:rsid w:val="6BD8792A"/>
    <w:rsid w:val="6C083A5D"/>
    <w:rsid w:val="6D1C1317"/>
    <w:rsid w:val="6E2E7B61"/>
    <w:rsid w:val="709160FF"/>
    <w:rsid w:val="7150636D"/>
    <w:rsid w:val="72203F91"/>
    <w:rsid w:val="72CB6719"/>
    <w:rsid w:val="7352461E"/>
    <w:rsid w:val="73D82886"/>
    <w:rsid w:val="74111D5F"/>
    <w:rsid w:val="74485737"/>
    <w:rsid w:val="7457323E"/>
    <w:rsid w:val="74CA2F41"/>
    <w:rsid w:val="75247969"/>
    <w:rsid w:val="75816DCA"/>
    <w:rsid w:val="75D752AF"/>
    <w:rsid w:val="75F813C5"/>
    <w:rsid w:val="76A96C4B"/>
    <w:rsid w:val="771124CB"/>
    <w:rsid w:val="782963D7"/>
    <w:rsid w:val="79515378"/>
    <w:rsid w:val="79B60BF1"/>
    <w:rsid w:val="7A012FE1"/>
    <w:rsid w:val="7A7949A6"/>
    <w:rsid w:val="7A796935"/>
    <w:rsid w:val="7AFD57B8"/>
    <w:rsid w:val="7AFF621C"/>
    <w:rsid w:val="7B8F0CE7"/>
    <w:rsid w:val="7BC41E31"/>
    <w:rsid w:val="7C0843A7"/>
    <w:rsid w:val="7C0B0FD0"/>
    <w:rsid w:val="7C2A47DB"/>
    <w:rsid w:val="7CFF0470"/>
    <w:rsid w:val="7D6F401F"/>
    <w:rsid w:val="7DB87774"/>
    <w:rsid w:val="7DBC0C13"/>
    <w:rsid w:val="7DD10A0A"/>
    <w:rsid w:val="7E1B08D1"/>
    <w:rsid w:val="7EA67C49"/>
    <w:rsid w:val="7F080287"/>
    <w:rsid w:val="7F765B38"/>
    <w:rsid w:val="7FE917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color w:val="FFFF00"/>
      <w:kern w:val="0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wangxianhua</cp:lastModifiedBy>
  <dcterms:modified xsi:type="dcterms:W3CDTF">2022-11-03T08:11:41Z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2052-11.1.0.11365</vt:lpwstr>
  </property>
</Properties>
</file>