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</w:pPr>
      <w:r>
        <w:rPr>
          <w:rFonts w:hint="eastAsia"/>
        </w:rPr>
        <w:t>管理体系审核记录表</w:t>
      </w:r>
    </w:p>
    <w:tbl>
      <w:tblPr>
        <w:tblStyle w:val="8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过程与活动、</w:t>
            </w:r>
          </w:p>
          <w:p>
            <w:pPr>
              <w:jc w:val="center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涉及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受审核部门：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项目：杭州国际创意中心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主管领导：</w:t>
            </w:r>
            <w:bookmarkStart w:id="1" w:name="_GoBack"/>
            <w:bookmarkEnd w:id="1"/>
            <w:r>
              <w:rPr>
                <w:rFonts w:hint="eastAsia" w:ascii="华文细黑" w:hAnsi="华文细黑" w:cs="华文细黑"/>
                <w:sz w:val="21"/>
                <w:szCs w:val="21"/>
                <w:lang w:eastAsia="zh-CN"/>
              </w:rPr>
              <w:t>关永杰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陪同人员：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黄妍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审核员：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林兵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审核时间：</w:t>
            </w:r>
            <w:bookmarkStart w:id="0" w:name="审核日期"/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2022年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月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华文细黑" w:hAnsi="华文细黑" w:eastAsia="华文细黑" w:cs="华文细黑"/>
                <w:sz w:val="21"/>
                <w:szCs w:val="21"/>
              </w:rPr>
              <w:t>日</w:t>
            </w:r>
            <w:bookmarkEnd w:id="0"/>
            <w:r>
              <w:rPr>
                <w:rFonts w:hint="eastAsia" w:ascii="华文细黑" w:hAnsi="华文细黑" w:eastAsia="华文细黑" w:cs="华文细黑"/>
                <w:sz w:val="21"/>
                <w:szCs w:val="21"/>
                <w:lang w:val="en-US" w:eastAsia="zh-CN"/>
              </w:rPr>
              <w:t>上午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eastAsia" w:ascii="华文细黑" w:hAnsi="华文细黑" w:eastAsia="华文细黑" w:cs="华文细黑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审核内容：</w:t>
            </w: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1.项目职责与权限；2.目标考核；3.项目服务活动控制；4.项目环境因素和危险源辨识、评价和控制措施情况；5.项目环境与安全运行控制整体情况包括应急准备与响应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1"/>
                <w:szCs w:val="21"/>
                <w:highlight w:val="none"/>
                <w:lang w:val="en-US" w:eastAsia="zh-CN"/>
              </w:rPr>
              <w:t>涉及条款：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QEO：5.3、6.2</w:t>
            </w:r>
          </w:p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Q：8.5.1、8.5.2/8.5.4、8.5.3、8.5.6</w:t>
            </w:r>
          </w:p>
          <w:p>
            <w:pPr>
              <w:rPr>
                <w:rFonts w:hint="eastAsia" w:ascii="华文细黑" w:hAnsi="华文细黑" w:eastAsia="华文细黑" w:cs="华文细黑"/>
                <w:sz w:val="21"/>
                <w:szCs w:val="21"/>
              </w:rPr>
            </w:pPr>
            <w:r>
              <w:rPr>
                <w:rFonts w:hint="eastAsia" w:ascii="华文细黑" w:hAnsi="华文细黑" w:eastAsia="华文细黑" w:cs="华文细黑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EO：6.1.2、8.1、8.2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部门职责与权限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auto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color w:val="auto"/>
                <w:lang w:val="en-US" w:eastAsia="zh-CN"/>
              </w:rPr>
              <w:t>5.3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杭州国际创意中心位于杭州市拱墅区环城北路139号。项目人员直接由保安部统管，工作职责主要包括门岗、巡逻和消防安全检查等。</w:t>
            </w:r>
          </w:p>
        </w:tc>
        <w:tc>
          <w:tcPr>
            <w:tcW w:w="1585" w:type="dxa"/>
          </w:tcPr>
          <w:p>
            <w:pPr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eastAsia" w:ascii="华文细黑" w:hAnsi="华文细黑" w:eastAsia="华文细黑" w:cs="华文细黑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目标在职责范围内的分解落实情况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QEO</w:t>
            </w:r>
            <w:r>
              <w:rPr>
                <w:rFonts w:hint="eastAsia" w:ascii="华文细黑" w:hAnsi="华文细黑" w:cs="华文细黑"/>
                <w:lang w:val="en-US" w:eastAsia="zh-CN"/>
              </w:rPr>
              <w:t>6.2</w:t>
            </w:r>
          </w:p>
        </w:tc>
        <w:tc>
          <w:tcPr>
            <w:tcW w:w="10004" w:type="dxa"/>
          </w:tcPr>
          <w:p>
            <w:pPr>
              <w:bidi w:val="0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审核发现，涉及项目的QEO目标分解落实情况如下：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1.消防设备检查率≥100%</w:t>
            </w:r>
          </w:p>
          <w:p>
            <w:pPr>
              <w:bidi w:val="0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2.应急演习执行率≥100%</w:t>
            </w:r>
          </w:p>
          <w:p>
            <w:pPr>
              <w:bidi w:val="0"/>
              <w:ind w:firstLine="420" w:firstLineChars="200"/>
              <w:rPr>
                <w:rFonts w:hint="eastAsia" w:eastAsia="华文细黑"/>
                <w:bCs/>
                <w:color w:val="auto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3.重大危险伤害事故≤1起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目标可测量，与组织方针一致。抽查近一年项目目标分解落实情况，均达成，基本符合监视要求。 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具体过程运行控制情况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lang w:val="en-US" w:eastAsia="zh-CN"/>
              </w:rPr>
              <w:t>Q</w:t>
            </w:r>
            <w:r>
              <w:rPr>
                <w:rFonts w:hint="eastAsia" w:ascii="华文细黑" w:hAnsi="华文细黑" w:cs="华文细黑"/>
                <w:lang w:val="en-US" w:eastAsia="zh-CN"/>
              </w:rPr>
              <w:t>8.5.1/8.5.6</w:t>
            </w:r>
          </w:p>
        </w:tc>
        <w:tc>
          <w:tcPr>
            <w:tcW w:w="10004" w:type="dxa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项目保安配备人员8名，人员配置及其能力基本能满足岗位要求。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项目安保服务过程的监视和测量方式主要是服务质量检查。保安部根据Q8.1准则文件，在日常监视和测量工作中形成了一系列记录文件：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抽查2022.3.10和2022年6月杭州国际创意中心（ICC）的一级检查记录分别如下：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秩序管理部检查方法及评分标准》：检查内容包括仪容仪表、工作环境、工作记录及存档资料、门岗、巡逻岗、监控岗、消防安全、安防管理等；检查评价得分90（满分100分）；项目负责人：梁*超；检查人：关永杰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秩序管理部检查方法及评分标准》：检查内容包括仪容仪表、工作环境、工作记录及存档资料、门岗、巡逻岗、监控岗、消防安全、安防管理等；检查评价得分92.6（满分100分）；项目负责人：朱*成；检查人：关永杰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项目二级检查（值班/执勤）记录如下：①消防监控中心值班记录表：日期：2022年10月2日；值班员：方*怀；设备运行情况：正常；其它内容包括报警时间、报警类型、到位时间、复位时间、地点、处理情况、处理人等；值班无异常事项，交接正常；②ICC监控室当值交接记录表：内容包括日期、时段、执勤员、监控室卫生、系统运行情况、设施齐备情况、交接事项记录、交接时间好交接队员等；查看10月16日—10月27日白、夜班交接记录，除交接事项有记录外，其余均正常；③秩序维护员岗位执勤记录：内容包括：日期、天气、时间、门岗人员、巡逻人员、值班记录等；抽查2022年10月2日记录显示均正常，交接手续齐全，均有值勤人员签字。</w:t>
            </w:r>
          </w:p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现场查看安保人员白班和夜班的值班/执勤和巡逻情况，穿戴整齐，礼仪完整，工器具等完备，设施运转正常，未发现违反《指导手册》的情况发生。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近一年以来，服务过程未发生变更的情况。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1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服务标识与防护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Q8.5.2/8.5.4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项目上提供服务的同时，对服务输出进行检查（如二级自查及一级检查等），适当时予以标识（如现场查见消控室设置的挡鼠板上有“未经许可不得去下挡板”的标识，基本同上。）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项目服务中心负责人关永杰介绍，小区安保服务都可以通过值班/执勤记录追溯到当天的服务人员，如若有问题，可通过询问相关人员和调查监控等找出原因，以鉴别、改进人员能力及其服务。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1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供方、顾客财产识别与防护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Q8.5.3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现场审核了解到，项目服务中心除劳保用品及办公易耗品等属公司配置外，其它大型公共设施、消防设施设备均是顾客财产。</w:t>
            </w:r>
          </w:p>
          <w:p>
            <w:pPr>
              <w:ind w:firstLine="420" w:firstLineChars="200"/>
              <w:rPr>
                <w:rFonts w:hint="default" w:eastAsia="华文细黑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妥善使用和管理也是属于服务管理中一部分，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组织要求服务人员按合同标准进行维护和保养，审核期间未发现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或使用</w:t>
            </w:r>
            <w:r>
              <w:rPr>
                <w:rFonts w:hint="eastAsia"/>
                <w:color w:val="000000"/>
                <w:szCs w:val="21"/>
              </w:rPr>
              <w:t>不当造成问题的情况。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项目服务中心环境因素和危险源辨识、评价和控制措施情况</w:t>
            </w:r>
          </w:p>
        </w:tc>
        <w:tc>
          <w:tcPr>
            <w:tcW w:w="960" w:type="dxa"/>
          </w:tcPr>
          <w:p>
            <w:pPr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EO6.1.2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《环境因素识别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和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评价控制程序》用以指导进行环境因素的识别、评价，以确定重要环境因素以及对环境因素的定期更新。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提供了《环境因素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调查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表》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识别的环境因素标明时态、状态和对环境的影响；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识别的环境因素包括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在办公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安保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活动中产生的水、电等消耗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生活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污水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一般固废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排放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潜在火灾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等，识别基本充分。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重要环境因素由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综合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统计综合评分方法确定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提供了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重要环境因素清单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》，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重要环境因素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如下：</w:t>
            </w: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93"/>
              <w:gridCol w:w="1978"/>
              <w:gridCol w:w="2156"/>
              <w:gridCol w:w="2341"/>
              <w:gridCol w:w="1263"/>
              <w:gridCol w:w="134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6" w:hRule="atLeast"/>
              </w:trPr>
              <w:tc>
                <w:tcPr>
                  <w:tcW w:w="693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center"/>
                    <w:rPr>
                      <w:rFonts w:hint="eastAsia" w:ascii="华文细黑" w:hAnsi="华文细黑" w:eastAsia="华文细黑" w:cs="华文细黑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978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both"/>
                    <w:rPr>
                      <w:rFonts w:hint="eastAsia" w:ascii="华文细黑" w:hAnsi="华文细黑" w:eastAsia="华文细黑" w:cs="华文细黑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环境因素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 xml:space="preserve">  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center"/>
                    <w:rPr>
                      <w:rFonts w:hint="eastAsia" w:ascii="华文细黑" w:hAnsi="华文细黑" w:eastAsia="华文细黑" w:cs="华文细黑"/>
                      <w:bCs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bCs/>
                      <w:sz w:val="21"/>
                      <w:szCs w:val="21"/>
                      <w:lang w:eastAsia="zh-CN"/>
                    </w:rPr>
                    <w:t>发生部位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center"/>
                    <w:rPr>
                      <w:rFonts w:hint="eastAsia" w:ascii="华文细黑" w:hAnsi="华文细黑" w:eastAsia="华文细黑" w:cs="华文细黑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eastAsia="zh-CN"/>
                    </w:rPr>
                    <w:t>环境影响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/性质</w:t>
                  </w:r>
                </w:p>
              </w:tc>
              <w:tc>
                <w:tcPr>
                  <w:tcW w:w="1263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both"/>
                    <w:rPr>
                      <w:rFonts w:hint="eastAsia" w:ascii="华文细黑" w:hAnsi="华文细黑" w:eastAsia="华文细黑" w:cs="华文细黑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时态/状态</w:t>
                  </w:r>
                </w:p>
              </w:tc>
              <w:tc>
                <w:tcPr>
                  <w:tcW w:w="1346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center"/>
                    <w:rPr>
                      <w:rFonts w:hint="eastAsia" w:ascii="华文细黑" w:hAnsi="华文细黑" w:eastAsia="华文细黑" w:cs="华文细黑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管理方式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693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center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978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lef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固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eastAsia="zh-CN"/>
                    </w:rPr>
                    <w:t>废（墨盒、硒鼓、灯管）排放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办公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土壤污染等/固废排放</w:t>
                  </w:r>
                </w:p>
              </w:tc>
              <w:tc>
                <w:tcPr>
                  <w:tcW w:w="1263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1346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按管理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eastAsia="zh-CN"/>
                    </w:rPr>
                    <w:t>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9" w:hRule="atLeast"/>
              </w:trPr>
              <w:tc>
                <w:tcPr>
                  <w:tcW w:w="693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center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978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eastAsia="zh-CN"/>
                    </w:rPr>
                    <w:t>火灾发生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办公场所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大气污染/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臭氧层破坏</w:t>
                  </w:r>
                </w:p>
              </w:tc>
              <w:tc>
                <w:tcPr>
                  <w:tcW w:w="1263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将来/异常</w:t>
                  </w:r>
                </w:p>
              </w:tc>
              <w:tc>
                <w:tcPr>
                  <w:tcW w:w="1346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按管理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eastAsia="zh-CN"/>
                    </w:rPr>
                    <w:t>方案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" w:hRule="atLeast"/>
              </w:trPr>
              <w:tc>
                <w:tcPr>
                  <w:tcW w:w="693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jc w:val="center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1978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能源、资源的消耗</w:t>
                  </w:r>
                </w:p>
              </w:tc>
              <w:tc>
                <w:tcPr>
                  <w:tcW w:w="2156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eastAsia="zh-CN"/>
                    </w:rPr>
                    <w:t>办公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现场、后勤生活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2341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水、电资源</w:t>
                  </w: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消耗</w:t>
                  </w:r>
                </w:p>
              </w:tc>
              <w:tc>
                <w:tcPr>
                  <w:tcW w:w="1263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</w:rPr>
                    <w:t>现在/正常</w:t>
                  </w:r>
                </w:p>
              </w:tc>
              <w:tc>
                <w:tcPr>
                  <w:tcW w:w="1346" w:type="dxa"/>
                  <w:noWrap w:val="0"/>
                  <w:vAlign w:val="center"/>
                </w:tcPr>
                <w:p>
                  <w:pPr>
                    <w:spacing w:before="109" w:beforeLines="35" w:after="109" w:afterLines="35" w:line="0" w:lineRule="atLeast"/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sz w:val="21"/>
                      <w:szCs w:val="21"/>
                      <w:lang w:val="en-US" w:eastAsia="zh-CN"/>
                    </w:rPr>
                    <w:t>按管理制度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识别的重要环境因素内容基本无变化，监视和评审日期：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组织制定了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《危险源辨识、风险评价控制程序》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以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确保在所有管理活动或服务过程中能最大限度、充分地进行危险源辨识与风险性评价，确定不可接受风险并及时更新，实现对危险源与不可接受风险的有效控制。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提供了《危险源辨识、风险评价、控制策划一览表》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识别的危险源包括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在办公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安保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服务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活动中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发生的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火灾和意外伤亡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等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，以确定控制措施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识别基本充分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 w:ascii="Times New Roman" w:hAnsi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</w:rPr>
              <w:t>提供了《不可接受职业健康安全风险清单》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：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"/>
              <w:gridCol w:w="382"/>
              <w:gridCol w:w="1889"/>
              <w:gridCol w:w="1093"/>
              <w:gridCol w:w="1251"/>
              <w:gridCol w:w="3129"/>
              <w:gridCol w:w="14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953" w:hRule="atLeast"/>
                <w:jc w:val="center"/>
              </w:trPr>
              <w:tc>
                <w:tcPr>
                  <w:tcW w:w="388" w:type="dxa"/>
                  <w:gridSpan w:val="2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 xml:space="preserve">          序号</w:t>
                  </w:r>
                </w:p>
              </w:tc>
              <w:tc>
                <w:tcPr>
                  <w:tcW w:w="1889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pacing w:val="5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pacing w:val="5"/>
                      <w:kern w:val="0"/>
                      <w:sz w:val="21"/>
                      <w:szCs w:val="21"/>
                    </w:rPr>
                    <w:t>来源</w:t>
                  </w:r>
                </w:p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pacing w:val="5"/>
                      <w:kern w:val="0"/>
                      <w:sz w:val="21"/>
                      <w:szCs w:val="21"/>
                    </w:rPr>
                    <w:t>(活动)</w:t>
                  </w:r>
                </w:p>
              </w:tc>
              <w:tc>
                <w:tcPr>
                  <w:tcW w:w="109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不可接受风险</w:t>
                  </w:r>
                </w:p>
              </w:tc>
              <w:tc>
                <w:tcPr>
                  <w:tcW w:w="125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危险</w:t>
                  </w:r>
                </w:p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类型</w:t>
                  </w:r>
                </w:p>
              </w:tc>
              <w:tc>
                <w:tcPr>
                  <w:tcW w:w="3129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控制措施</w:t>
                  </w:r>
                </w:p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6" w:type="dxa"/>
                <w:cantSplit/>
                <w:trHeight w:val="953" w:hRule="atLeast"/>
                <w:jc w:val="center"/>
              </w:trPr>
              <w:tc>
                <w:tcPr>
                  <w:tcW w:w="382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1889" w:type="dxa"/>
                  <w:tcBorders>
                    <w:top w:val="single" w:color="auto" w:sz="4" w:space="0"/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抽烟、焚烧、电线短路等火源</w:t>
                  </w:r>
                </w:p>
              </w:tc>
              <w:tc>
                <w:tcPr>
                  <w:tcW w:w="109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火灾</w:t>
                  </w:r>
                </w:p>
              </w:tc>
              <w:tc>
                <w:tcPr>
                  <w:tcW w:w="125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人身伤害</w:t>
                  </w:r>
                </w:p>
              </w:tc>
              <w:tc>
                <w:tcPr>
                  <w:tcW w:w="3129" w:type="dxa"/>
                  <w:noWrap w:val="0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pacing w:val="3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pacing w:val="3"/>
                      <w:kern w:val="0"/>
                      <w:sz w:val="21"/>
                      <w:szCs w:val="21"/>
                    </w:rPr>
                    <w:t>1加强消防巡检</w:t>
                  </w:r>
                </w:p>
                <w:p>
                  <w:pPr>
                    <w:spacing w:line="360" w:lineRule="auto"/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pacing w:val="3"/>
                      <w:kern w:val="0"/>
                      <w:sz w:val="21"/>
                      <w:szCs w:val="21"/>
                    </w:rPr>
                    <w:t>2制定应对预案、演习、评审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预案+演练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6" w:type="dxa"/>
                <w:cantSplit/>
                <w:trHeight w:val="649" w:hRule="atLeast"/>
                <w:jc w:val="center"/>
              </w:trPr>
              <w:tc>
                <w:tcPr>
                  <w:tcW w:w="382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1889" w:type="dxa"/>
                  <w:tcBorders>
                    <w:top w:val="single" w:color="auto" w:sz="4" w:space="0"/>
                  </w:tcBorders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人为治安、盗窃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eastAsia="zh-CN"/>
                    </w:rPr>
                    <w:t>、</w:t>
                  </w: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  <w:lang w:val="en-US" w:eastAsia="zh-CN"/>
                    </w:rPr>
                    <w:t>暴力伤害</w:t>
                  </w:r>
                </w:p>
              </w:tc>
              <w:tc>
                <w:tcPr>
                  <w:tcW w:w="109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伤害、伤亡</w:t>
                  </w:r>
                </w:p>
              </w:tc>
              <w:tc>
                <w:tcPr>
                  <w:tcW w:w="1251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人身伤害</w:t>
                  </w:r>
                </w:p>
              </w:tc>
              <w:tc>
                <w:tcPr>
                  <w:tcW w:w="3129" w:type="dxa"/>
                  <w:noWrap w:val="0"/>
                  <w:vAlign w:val="center"/>
                </w:tcPr>
                <w:p>
                  <w:pPr>
                    <w:spacing w:line="360" w:lineRule="auto"/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pacing w:val="3"/>
                      <w:kern w:val="0"/>
                      <w:sz w:val="21"/>
                      <w:szCs w:val="21"/>
                    </w:rPr>
                    <w:t>制定应对预案</w:t>
                  </w:r>
                </w:p>
              </w:tc>
              <w:tc>
                <w:tcPr>
                  <w:tcW w:w="1413" w:type="dxa"/>
                  <w:noWrap w:val="0"/>
                  <w:vAlign w:val="center"/>
                </w:tcPr>
                <w:p>
                  <w:pPr>
                    <w:jc w:val="both"/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auto"/>
                      <w:sz w:val="21"/>
                      <w:szCs w:val="21"/>
                    </w:rPr>
                    <w:t>检查</w:t>
                  </w:r>
                </w:p>
              </w:tc>
            </w:tr>
          </w:tbl>
          <w:p>
            <w:pPr>
              <w:spacing w:line="280" w:lineRule="exact"/>
              <w:ind w:firstLine="420" w:firstLineChars="200"/>
              <w:jc w:val="left"/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识别的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危险源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内容无变化，监视和评审日期：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202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.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环境与安全运行控制整体情况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EO8.1</w:t>
            </w:r>
          </w:p>
        </w:tc>
        <w:tc>
          <w:tcPr>
            <w:tcW w:w="10004" w:type="dxa"/>
          </w:tcPr>
          <w:p>
            <w:pPr>
              <w:spacing w:line="240" w:lineRule="auto"/>
              <w:ind w:firstLine="420" w:firstLineChars="200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现场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审核发现，组织相应环境和职业健康安全运行过程控制如下：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1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.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固废管控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主要为</w:t>
            </w:r>
            <w:r>
              <w:rPr>
                <w:rFonts w:hint="eastAsia"/>
                <w:color w:val="auto"/>
                <w:lang w:val="en-US" w:eastAsia="zh-CN"/>
              </w:rPr>
              <w:t>办公和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生活垃圾，</w:t>
            </w:r>
            <w:r>
              <w:rPr>
                <w:rFonts w:hint="eastAsia"/>
                <w:color w:val="auto"/>
                <w:lang w:val="en-US" w:eastAsia="zh-CN"/>
              </w:rPr>
              <w:t>有垃圾分类设施设备，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由市政环卫</w:t>
            </w:r>
            <w:r>
              <w:rPr>
                <w:rFonts w:hint="eastAsia"/>
                <w:color w:val="auto"/>
                <w:lang w:val="en-US" w:eastAsia="zh-CN"/>
              </w:rPr>
              <w:t>统一收集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处理。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 xml:space="preserve"> 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2.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废水管控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主要生活废水排入政府污水管网统一处理。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3.废气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服务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过程</w:t>
            </w:r>
            <w:r>
              <w:rPr>
                <w:rFonts w:hint="eastAsia"/>
                <w:color w:val="auto"/>
                <w:lang w:val="en-US" w:eastAsia="zh-CN"/>
              </w:rPr>
              <w:t>及相应管理活动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无废气产生。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4.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能源资源管控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办公及服务活动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注意节水、节电、节油，人走关闭开关，未发现有漏水和浪费电能</w:t>
            </w:r>
            <w:r>
              <w:rPr>
                <w:rFonts w:hint="eastAsia"/>
                <w:color w:val="auto"/>
                <w:lang w:val="en-US" w:eastAsia="zh-CN"/>
              </w:rPr>
              <w:t>等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现象。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5.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潜在火灾管控</w:t>
            </w:r>
          </w:p>
          <w:p>
            <w:pPr>
              <w:spacing w:line="240" w:lineRule="auto"/>
              <w:ind w:firstLine="420" w:firstLineChars="200"/>
              <w:rPr>
                <w:rFonts w:hint="default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业主各区域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配备了消防栓</w:t>
            </w:r>
            <w:r>
              <w:rPr>
                <w:rFonts w:hint="eastAsia"/>
                <w:color w:val="auto"/>
                <w:lang w:val="en-US" w:eastAsia="zh-CN"/>
              </w:rPr>
              <w:t>、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灭火器</w:t>
            </w:r>
            <w:r>
              <w:rPr>
                <w:rFonts w:hint="eastAsia"/>
                <w:color w:val="auto"/>
                <w:lang w:val="en-US" w:eastAsia="zh-CN"/>
              </w:rPr>
              <w:t>和消防报警系统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，状态有效，维护检查符合要求。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6.触电安全防护：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现场</w:t>
            </w:r>
            <w:r>
              <w:rPr>
                <w:rFonts w:hint="eastAsia"/>
                <w:color w:val="auto"/>
                <w:lang w:val="en-US" w:eastAsia="zh-CN"/>
              </w:rPr>
              <w:t>电气设施等都有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漏电保护器</w:t>
            </w:r>
            <w:r>
              <w:rPr>
                <w:rFonts w:hint="eastAsia"/>
                <w:color w:val="auto"/>
                <w:lang w:val="en-US"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状态良好。</w:t>
            </w:r>
          </w:p>
          <w:p>
            <w:pPr>
              <w:spacing w:line="240" w:lineRule="auto"/>
              <w:ind w:firstLine="420" w:firstLineChars="200"/>
              <w:rPr>
                <w:rFonts w:hint="eastAsia" w:ascii="Times New Roman" w:hAnsi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7.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安全防护</w:t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 w:ascii="Times New Roman" w:hAnsi="Times New Roman"/>
                <w:color w:val="auto"/>
                <w:lang w:eastAsia="zh-CN"/>
              </w:rPr>
              <w:t>疫情期间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进出</w:t>
            </w:r>
            <w:r>
              <w:rPr>
                <w:rFonts w:hint="eastAsia"/>
                <w:color w:val="auto"/>
                <w:lang w:val="en-US" w:eastAsia="zh-CN"/>
              </w:rPr>
              <w:t>ICC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人员进行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体温检查，扫码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登记，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查看双码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组织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给员工发放口罩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CN"/>
              </w:rPr>
              <w:t>手套</w:t>
            </w:r>
            <w:r>
              <w:rPr>
                <w:rFonts w:hint="eastAsia" w:ascii="Times New Roman" w:hAnsi="Times New Roman"/>
                <w:color w:val="auto"/>
                <w:lang w:eastAsia="zh-CN"/>
              </w:rPr>
              <w:t>等劳保用品；</w:t>
            </w: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夏天给员工配备防暑药品如藿香口服液等。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2160" w:type="dxa"/>
          </w:tcPr>
          <w:p>
            <w:pPr>
              <w:rPr>
                <w:rFonts w:hint="default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应急准备与响应</w:t>
            </w:r>
          </w:p>
        </w:tc>
        <w:tc>
          <w:tcPr>
            <w:tcW w:w="960" w:type="dxa"/>
          </w:tcPr>
          <w:p>
            <w:pPr>
              <w:rPr>
                <w:rFonts w:hint="default" w:ascii="华文细黑" w:hAnsi="华文细黑" w:eastAsia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细黑" w:hAnsi="华文细黑" w:cs="华文细黑"/>
                <w:spacing w:val="-6"/>
                <w:sz w:val="21"/>
                <w:szCs w:val="21"/>
                <w:highlight w:val="none"/>
                <w:lang w:val="en-US" w:eastAsia="zh-CN"/>
              </w:rPr>
              <w:t>EO8.2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</w:t>
            </w:r>
            <w:r>
              <w:rPr>
                <w:rFonts w:hint="eastAsia"/>
                <w:color w:val="auto"/>
                <w:szCs w:val="21"/>
              </w:rPr>
              <w:t>编制了《应急准备和响应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控制</w:t>
            </w:r>
            <w:r>
              <w:rPr>
                <w:rFonts w:hint="eastAsia"/>
                <w:color w:val="auto"/>
                <w:szCs w:val="21"/>
              </w:rPr>
              <w:t>程序》，查看内容基本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无变化，</w:t>
            </w:r>
            <w:r>
              <w:rPr>
                <w:rFonts w:hint="eastAsia"/>
                <w:color w:val="auto"/>
                <w:szCs w:val="21"/>
              </w:rPr>
              <w:t>符合要求。</w:t>
            </w:r>
          </w:p>
          <w:p>
            <w:pPr>
              <w:spacing w:line="280" w:lineRule="exact"/>
              <w:ind w:firstLine="420" w:firstLineChars="200"/>
              <w:rPr>
                <w:rFonts w:hint="eastAsia" w:ascii="Times New Roman" w:hAnsi="Times New Roman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组织根据程序要求结合实际</w:t>
            </w:r>
            <w:r>
              <w:rPr>
                <w:rFonts w:hint="eastAsia"/>
                <w:color w:val="auto"/>
                <w:szCs w:val="21"/>
              </w:rPr>
              <w:t>策划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</w:t>
            </w:r>
            <w:r>
              <w:rPr>
                <w:rFonts w:hint="eastAsia"/>
                <w:color w:val="auto"/>
                <w:szCs w:val="21"/>
              </w:rPr>
              <w:t>应急预案包括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火灾应急预案、盗窃处理预案、防汛防台应急预案、突发停电应急预案、意外伤亡应急预案、车辆管理应急预案、疫情防控应急预案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等</w:t>
            </w:r>
            <w:r>
              <w:rPr>
                <w:rFonts w:hint="eastAsia" w:ascii="Times New Roman" w:hAnsi="Times New Roman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color w:val="auto"/>
                <w:szCs w:val="21"/>
              </w:rPr>
              <w:t>基本合理。在体系运行期间没有发生异常情况。</w:t>
            </w:r>
          </w:p>
          <w:p>
            <w:pPr>
              <w:spacing w:line="280" w:lineRule="exact"/>
              <w:ind w:firstLine="420" w:firstLineChars="200"/>
              <w:rPr>
                <w:rFonts w:hint="default" w:ascii="Times New Roman" w:hAnsi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查消防演练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记录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：演练时间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：2022年10月25日；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地点：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ICC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；参加人员：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项目所有服务人员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提供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演练过程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照片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，并对预案的有效性进行了评价。</w:t>
            </w:r>
          </w:p>
          <w:p>
            <w:pPr>
              <w:ind w:firstLine="420" w:firstLineChars="200"/>
              <w:rPr>
                <w:rFonts w:hint="default" w:ascii="Times New Roman" w:hAnsi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图：消防演练   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 xml:space="preserve">       </w:t>
            </w:r>
          </w:p>
          <w:p>
            <w:pPr>
              <w:rPr>
                <w:rFonts w:hint="eastAsia" w:ascii="Times New Roman" w:hAnsi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 xml:space="preserve">    </w:t>
            </w:r>
            <w:r>
              <w:drawing>
                <wp:inline distT="0" distB="0" distL="114300" distR="114300">
                  <wp:extent cx="4267200" cy="2362200"/>
                  <wp:effectExtent l="0" t="0" r="0" b="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20" w:firstLineChars="200"/>
              <w:rPr>
                <w:color w:val="FF0000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截止审核期间，项目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未发生火灾、触电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、治安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等人身伤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亡</w:t>
            </w:r>
            <w:r>
              <w:rPr>
                <w:rFonts w:hint="eastAsia" w:ascii="Times New Roman" w:hAnsi="Times New Roman"/>
                <w:color w:val="auto"/>
                <w:szCs w:val="21"/>
                <w:lang w:val="en-US" w:eastAsia="zh-CN"/>
              </w:rPr>
              <w:t>事故。</w:t>
            </w:r>
          </w:p>
        </w:tc>
        <w:tc>
          <w:tcPr>
            <w:tcW w:w="1585" w:type="dxa"/>
          </w:tcPr>
          <w:p>
            <w:pPr>
              <w:rPr>
                <w:rFonts w:hint="eastAsia" w:eastAsia="华文细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6"/>
      </w:pPr>
      <w:r>
        <w:rPr>
          <w:rFonts w:hint="eastAsia"/>
          <w:lang w:val="en-US" w:eastAsia="zh-CN"/>
        </w:rPr>
        <w:t>说</w:t>
      </w:r>
      <w:r>
        <w:rPr>
          <w:rFonts w:hint="eastAsia"/>
        </w:rPr>
        <w:t>明：</w:t>
      </w:r>
      <w:r>
        <w:rPr>
          <w:rFonts w:hint="eastAsia"/>
          <w:lang w:val="en-US" w:eastAsia="zh-CN"/>
        </w:rPr>
        <w:t>符合标注Y，</w:t>
      </w:r>
      <w:r>
        <w:rPr>
          <w:rFonts w:hint="eastAsia"/>
        </w:rPr>
        <w:t>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6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7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MxNmFjM2JiM2E0NTA2NDBlNDc5ZjJlODAzODVlOTAifQ=="/>
  </w:docVars>
  <w:rsids>
    <w:rsidRoot w:val="00000000"/>
    <w:rsid w:val="01907996"/>
    <w:rsid w:val="03732BA6"/>
    <w:rsid w:val="03757A44"/>
    <w:rsid w:val="0388148E"/>
    <w:rsid w:val="0480664E"/>
    <w:rsid w:val="04C013D4"/>
    <w:rsid w:val="04C64537"/>
    <w:rsid w:val="04E470A0"/>
    <w:rsid w:val="04F8572C"/>
    <w:rsid w:val="05051E1A"/>
    <w:rsid w:val="05184F9C"/>
    <w:rsid w:val="05340028"/>
    <w:rsid w:val="05F7526C"/>
    <w:rsid w:val="064E04CF"/>
    <w:rsid w:val="06BC6527"/>
    <w:rsid w:val="06BF09A4"/>
    <w:rsid w:val="08111DB2"/>
    <w:rsid w:val="08DF02AB"/>
    <w:rsid w:val="098D7D07"/>
    <w:rsid w:val="09C342AE"/>
    <w:rsid w:val="0A00735D"/>
    <w:rsid w:val="0A911527"/>
    <w:rsid w:val="0ADD081A"/>
    <w:rsid w:val="0B8B4559"/>
    <w:rsid w:val="0B964DA6"/>
    <w:rsid w:val="0C2B1A59"/>
    <w:rsid w:val="0C3A50BE"/>
    <w:rsid w:val="0D2E5A6F"/>
    <w:rsid w:val="0DE16873"/>
    <w:rsid w:val="0E3838BA"/>
    <w:rsid w:val="0FD04EBC"/>
    <w:rsid w:val="107C5A41"/>
    <w:rsid w:val="10911B5D"/>
    <w:rsid w:val="10CC55B8"/>
    <w:rsid w:val="115433C3"/>
    <w:rsid w:val="118A7DBE"/>
    <w:rsid w:val="121865DB"/>
    <w:rsid w:val="122146FC"/>
    <w:rsid w:val="1228313F"/>
    <w:rsid w:val="12320AD3"/>
    <w:rsid w:val="128B4DFC"/>
    <w:rsid w:val="136715C8"/>
    <w:rsid w:val="138A0D3A"/>
    <w:rsid w:val="14890660"/>
    <w:rsid w:val="14910533"/>
    <w:rsid w:val="155C53B3"/>
    <w:rsid w:val="16D54659"/>
    <w:rsid w:val="183D4FEE"/>
    <w:rsid w:val="184D216A"/>
    <w:rsid w:val="18950986"/>
    <w:rsid w:val="18B03A11"/>
    <w:rsid w:val="18E303F6"/>
    <w:rsid w:val="19DB5D1F"/>
    <w:rsid w:val="1A154192"/>
    <w:rsid w:val="1A203046"/>
    <w:rsid w:val="1A296B85"/>
    <w:rsid w:val="1A753177"/>
    <w:rsid w:val="1C8929ED"/>
    <w:rsid w:val="1D1D0F4A"/>
    <w:rsid w:val="1D6C235B"/>
    <w:rsid w:val="1D7E63B6"/>
    <w:rsid w:val="1DCD0F0E"/>
    <w:rsid w:val="1E4C7D38"/>
    <w:rsid w:val="1EAA4A5F"/>
    <w:rsid w:val="1F8848DA"/>
    <w:rsid w:val="1F910CAB"/>
    <w:rsid w:val="20210D51"/>
    <w:rsid w:val="205A49AA"/>
    <w:rsid w:val="207417C9"/>
    <w:rsid w:val="20896D78"/>
    <w:rsid w:val="21221F2F"/>
    <w:rsid w:val="21FE759C"/>
    <w:rsid w:val="23A3664D"/>
    <w:rsid w:val="23F14C0A"/>
    <w:rsid w:val="24775087"/>
    <w:rsid w:val="255233A1"/>
    <w:rsid w:val="255E5A65"/>
    <w:rsid w:val="25B56073"/>
    <w:rsid w:val="25F93317"/>
    <w:rsid w:val="26355140"/>
    <w:rsid w:val="26663961"/>
    <w:rsid w:val="26CB69E8"/>
    <w:rsid w:val="26EE4083"/>
    <w:rsid w:val="26FC3A3F"/>
    <w:rsid w:val="27691B9F"/>
    <w:rsid w:val="27F741D4"/>
    <w:rsid w:val="280F2F92"/>
    <w:rsid w:val="287158E1"/>
    <w:rsid w:val="287B263B"/>
    <w:rsid w:val="294F3D1B"/>
    <w:rsid w:val="2977525D"/>
    <w:rsid w:val="2A172DFB"/>
    <w:rsid w:val="2A1C0F07"/>
    <w:rsid w:val="2A8C1091"/>
    <w:rsid w:val="2B1C52A2"/>
    <w:rsid w:val="2B595843"/>
    <w:rsid w:val="2B8F1669"/>
    <w:rsid w:val="2BC26703"/>
    <w:rsid w:val="2C9E0609"/>
    <w:rsid w:val="2CE738D7"/>
    <w:rsid w:val="2CF577ED"/>
    <w:rsid w:val="2D53647D"/>
    <w:rsid w:val="2E297413"/>
    <w:rsid w:val="2ED81174"/>
    <w:rsid w:val="3069482A"/>
    <w:rsid w:val="30C3135E"/>
    <w:rsid w:val="31DA1C8B"/>
    <w:rsid w:val="32A97FE8"/>
    <w:rsid w:val="3321758E"/>
    <w:rsid w:val="333E4A03"/>
    <w:rsid w:val="345160B9"/>
    <w:rsid w:val="34732D57"/>
    <w:rsid w:val="34F36D08"/>
    <w:rsid w:val="35727C2D"/>
    <w:rsid w:val="372318F0"/>
    <w:rsid w:val="375E74AA"/>
    <w:rsid w:val="37AD3199"/>
    <w:rsid w:val="37B47FD0"/>
    <w:rsid w:val="38160850"/>
    <w:rsid w:val="383E6692"/>
    <w:rsid w:val="38402323"/>
    <w:rsid w:val="38705E92"/>
    <w:rsid w:val="397D6299"/>
    <w:rsid w:val="39972046"/>
    <w:rsid w:val="399F4E45"/>
    <w:rsid w:val="39EB26A4"/>
    <w:rsid w:val="39EF3F42"/>
    <w:rsid w:val="3AC0768C"/>
    <w:rsid w:val="3AD307ED"/>
    <w:rsid w:val="3C327950"/>
    <w:rsid w:val="3C345B6C"/>
    <w:rsid w:val="3CB97C27"/>
    <w:rsid w:val="3CDA3196"/>
    <w:rsid w:val="3CF5326E"/>
    <w:rsid w:val="3D8F3346"/>
    <w:rsid w:val="3D9B281B"/>
    <w:rsid w:val="3DE94611"/>
    <w:rsid w:val="3E667A57"/>
    <w:rsid w:val="3F8D0A1C"/>
    <w:rsid w:val="3FA52DF7"/>
    <w:rsid w:val="40A35027"/>
    <w:rsid w:val="4144322E"/>
    <w:rsid w:val="41666E28"/>
    <w:rsid w:val="41EC28B0"/>
    <w:rsid w:val="424419FB"/>
    <w:rsid w:val="42B60C1B"/>
    <w:rsid w:val="42E83A98"/>
    <w:rsid w:val="439924D6"/>
    <w:rsid w:val="43CA42B0"/>
    <w:rsid w:val="44A21BB1"/>
    <w:rsid w:val="455769C5"/>
    <w:rsid w:val="45E87EEF"/>
    <w:rsid w:val="4633602E"/>
    <w:rsid w:val="465D66D7"/>
    <w:rsid w:val="46B2620F"/>
    <w:rsid w:val="471B3C1F"/>
    <w:rsid w:val="47AE0793"/>
    <w:rsid w:val="47CB4319"/>
    <w:rsid w:val="49AD2339"/>
    <w:rsid w:val="49FB248F"/>
    <w:rsid w:val="4AEC64FF"/>
    <w:rsid w:val="4D36739D"/>
    <w:rsid w:val="4D427A0E"/>
    <w:rsid w:val="4D4617E1"/>
    <w:rsid w:val="4D46687F"/>
    <w:rsid w:val="4DCB2A58"/>
    <w:rsid w:val="4E105D47"/>
    <w:rsid w:val="4E5151F8"/>
    <w:rsid w:val="4F5A694A"/>
    <w:rsid w:val="4FB1539E"/>
    <w:rsid w:val="4FCA00D4"/>
    <w:rsid w:val="503448A7"/>
    <w:rsid w:val="508E7F6F"/>
    <w:rsid w:val="521040E7"/>
    <w:rsid w:val="527230C0"/>
    <w:rsid w:val="52B54662"/>
    <w:rsid w:val="53B44B9D"/>
    <w:rsid w:val="5529710B"/>
    <w:rsid w:val="55364A59"/>
    <w:rsid w:val="55B862D7"/>
    <w:rsid w:val="561245D0"/>
    <w:rsid w:val="56341C1D"/>
    <w:rsid w:val="56A83B38"/>
    <w:rsid w:val="57BE4AFC"/>
    <w:rsid w:val="59107BB9"/>
    <w:rsid w:val="59B33F49"/>
    <w:rsid w:val="59F93B19"/>
    <w:rsid w:val="5A0C4788"/>
    <w:rsid w:val="5A910CA3"/>
    <w:rsid w:val="5B4812AC"/>
    <w:rsid w:val="5B7413A0"/>
    <w:rsid w:val="5B803268"/>
    <w:rsid w:val="5B8529D0"/>
    <w:rsid w:val="5BC15B7B"/>
    <w:rsid w:val="5C357C0E"/>
    <w:rsid w:val="5CD16101"/>
    <w:rsid w:val="5CEE35CE"/>
    <w:rsid w:val="5D0E4DF8"/>
    <w:rsid w:val="5D2245DB"/>
    <w:rsid w:val="5DA052A8"/>
    <w:rsid w:val="5E0B4267"/>
    <w:rsid w:val="5E2200B6"/>
    <w:rsid w:val="5E577C9D"/>
    <w:rsid w:val="5E882B2D"/>
    <w:rsid w:val="5EC20762"/>
    <w:rsid w:val="5ED522A0"/>
    <w:rsid w:val="5EF13A09"/>
    <w:rsid w:val="5FB567E4"/>
    <w:rsid w:val="601026ED"/>
    <w:rsid w:val="6071121D"/>
    <w:rsid w:val="609D5331"/>
    <w:rsid w:val="60DE34EB"/>
    <w:rsid w:val="643F3995"/>
    <w:rsid w:val="653B37AA"/>
    <w:rsid w:val="65467F62"/>
    <w:rsid w:val="65D93619"/>
    <w:rsid w:val="66076417"/>
    <w:rsid w:val="66466EE0"/>
    <w:rsid w:val="665769F8"/>
    <w:rsid w:val="669C65C9"/>
    <w:rsid w:val="669C7460"/>
    <w:rsid w:val="66E85E46"/>
    <w:rsid w:val="67BB474E"/>
    <w:rsid w:val="684F1CD8"/>
    <w:rsid w:val="693823B6"/>
    <w:rsid w:val="6A2D45F4"/>
    <w:rsid w:val="6AD45B64"/>
    <w:rsid w:val="6B714433"/>
    <w:rsid w:val="6BD8792A"/>
    <w:rsid w:val="6C083A5D"/>
    <w:rsid w:val="6ED0363B"/>
    <w:rsid w:val="709160FF"/>
    <w:rsid w:val="71A60683"/>
    <w:rsid w:val="723D55C8"/>
    <w:rsid w:val="729A1756"/>
    <w:rsid w:val="73CE72DF"/>
    <w:rsid w:val="73D82886"/>
    <w:rsid w:val="73D94E10"/>
    <w:rsid w:val="74681C20"/>
    <w:rsid w:val="746D6A96"/>
    <w:rsid w:val="75383F12"/>
    <w:rsid w:val="75583999"/>
    <w:rsid w:val="75816DCA"/>
    <w:rsid w:val="758E256F"/>
    <w:rsid w:val="75D752AF"/>
    <w:rsid w:val="75E55C1E"/>
    <w:rsid w:val="76A96C4B"/>
    <w:rsid w:val="782963D7"/>
    <w:rsid w:val="78741052"/>
    <w:rsid w:val="79515378"/>
    <w:rsid w:val="79B60BF1"/>
    <w:rsid w:val="7A012FE1"/>
    <w:rsid w:val="7A7949A6"/>
    <w:rsid w:val="7AFD57B8"/>
    <w:rsid w:val="7AFF621C"/>
    <w:rsid w:val="7BC41E31"/>
    <w:rsid w:val="7C0843A7"/>
    <w:rsid w:val="7C0B0FD0"/>
    <w:rsid w:val="7CE85FC4"/>
    <w:rsid w:val="7CFF0470"/>
    <w:rsid w:val="7D1140FE"/>
    <w:rsid w:val="7D6F401F"/>
    <w:rsid w:val="7DB87774"/>
    <w:rsid w:val="7DD10A0A"/>
    <w:rsid w:val="7DE71D15"/>
    <w:rsid w:val="7DE92129"/>
    <w:rsid w:val="7E1B08D1"/>
    <w:rsid w:val="7E71023C"/>
    <w:rsid w:val="7F080287"/>
    <w:rsid w:val="7F765B38"/>
    <w:rsid w:val="7FBE2DF5"/>
    <w:rsid w:val="7FE91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华文细黑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autoSpaceDE w:val="0"/>
      <w:autoSpaceDN w:val="0"/>
      <w:adjustRightInd w:val="0"/>
      <w:jc w:val="center"/>
      <w:outlineLvl w:val="0"/>
    </w:pPr>
    <w:rPr>
      <w:color w:val="FFFF00"/>
      <w:kern w:val="0"/>
      <w:sz w:val="44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5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7</TotalTime>
  <ScaleCrop>false</ScaleCrop>
  <LinksUpToDate>false</LinksUpToDate>
  <CharactersWithSpaces>101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wangxianhua</cp:lastModifiedBy>
  <dcterms:modified xsi:type="dcterms:W3CDTF">2022-11-03T08:01:22Z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2052-11.1.0.11365</vt:lpwstr>
  </property>
</Properties>
</file>