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default" w:eastAsia="华文细黑"/>
                <w:sz w:val="21"/>
                <w:szCs w:val="21"/>
                <w:lang w:val="en-US" w:eastAsia="zh-CN"/>
              </w:rPr>
            </w:pPr>
            <w:r>
              <w:rPr>
                <w:rFonts w:hint="eastAsia"/>
                <w:sz w:val="21"/>
                <w:szCs w:val="21"/>
              </w:rPr>
              <w:t>受审核部门：</w:t>
            </w:r>
            <w:r>
              <w:rPr>
                <w:rFonts w:hint="eastAsia"/>
                <w:sz w:val="21"/>
                <w:szCs w:val="21"/>
                <w:lang w:val="en-US" w:eastAsia="zh-CN"/>
              </w:rPr>
              <w:t xml:space="preserve">综合办公室 </w:t>
            </w:r>
            <w:r>
              <w:rPr>
                <w:rFonts w:hint="eastAsia"/>
                <w:sz w:val="21"/>
                <w:szCs w:val="21"/>
              </w:rPr>
              <w:t>主管领导：</w:t>
            </w:r>
            <w:r>
              <w:rPr>
                <w:rFonts w:hint="eastAsia"/>
                <w:sz w:val="21"/>
                <w:szCs w:val="21"/>
                <w:lang w:val="en-US" w:eastAsia="zh-CN"/>
              </w:rPr>
              <w:t>梅弘；</w:t>
            </w:r>
            <w:r>
              <w:rPr>
                <w:rFonts w:hint="eastAsia"/>
                <w:sz w:val="21"/>
                <w:szCs w:val="21"/>
              </w:rPr>
              <w:t>陪同人员：</w:t>
            </w:r>
            <w:r>
              <w:rPr>
                <w:rFonts w:hint="eastAsia"/>
                <w:sz w:val="21"/>
                <w:szCs w:val="21"/>
                <w:lang w:val="en-US" w:eastAsia="zh-CN"/>
              </w:rPr>
              <w:t>黄岩</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华文细黑"/>
                <w:sz w:val="21"/>
                <w:szCs w:val="21"/>
                <w:lang w:eastAsia="zh-CN"/>
              </w:rPr>
            </w:pPr>
            <w:r>
              <w:rPr>
                <w:rFonts w:hint="eastAsia"/>
                <w:sz w:val="21"/>
                <w:szCs w:val="21"/>
              </w:rPr>
              <w:t>审核员：</w:t>
            </w:r>
            <w:r>
              <w:rPr>
                <w:rFonts w:hint="eastAsia"/>
                <w:sz w:val="21"/>
                <w:szCs w:val="21"/>
                <w:lang w:val="en-US" w:eastAsia="zh-CN"/>
              </w:rPr>
              <w:t>王献华</w:t>
            </w:r>
            <w:r>
              <w:rPr>
                <w:rFonts w:hint="eastAsia"/>
                <w:sz w:val="21"/>
                <w:szCs w:val="21"/>
                <w:lang w:eastAsia="zh-CN"/>
              </w:rPr>
              <w:t>；</w:t>
            </w:r>
            <w:r>
              <w:rPr>
                <w:rFonts w:hint="eastAsia"/>
                <w:sz w:val="21"/>
                <w:szCs w:val="21"/>
              </w:rPr>
              <w:t>审核时间：</w:t>
            </w:r>
            <w:bookmarkStart w:id="0" w:name="审核日期"/>
            <w:r>
              <w:rPr>
                <w:sz w:val="21"/>
                <w:szCs w:val="21"/>
              </w:rPr>
              <w:t>2022年</w:t>
            </w:r>
            <w:r>
              <w:rPr>
                <w:rFonts w:hint="eastAsia"/>
                <w:sz w:val="21"/>
                <w:szCs w:val="21"/>
                <w:lang w:val="en-US" w:eastAsia="zh-CN"/>
              </w:rPr>
              <w:t>10</w:t>
            </w:r>
            <w:r>
              <w:rPr>
                <w:sz w:val="21"/>
                <w:szCs w:val="21"/>
              </w:rPr>
              <w:t>月</w:t>
            </w:r>
            <w:r>
              <w:rPr>
                <w:rFonts w:hint="eastAsia"/>
                <w:sz w:val="21"/>
                <w:szCs w:val="21"/>
                <w:lang w:val="en-US" w:eastAsia="zh-CN"/>
              </w:rPr>
              <w:t>28</w:t>
            </w:r>
            <w:r>
              <w:rPr>
                <w:sz w:val="21"/>
                <w:szCs w:val="21"/>
              </w:rPr>
              <w:t>日</w:t>
            </w:r>
            <w:bookmarkEnd w:id="0"/>
            <w:r>
              <w:rPr>
                <w:rFonts w:hint="eastAsia"/>
                <w:sz w:val="21"/>
                <w:szCs w:val="21"/>
                <w:lang w:val="en-US"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jc w:val="left"/>
              <w:textAlignment w:val="baseline"/>
              <w:rPr>
                <w:rFonts w:hint="eastAsia" w:ascii="华文细黑" w:hAnsi="华文细黑" w:eastAsia="华文细黑" w:cs="华文细黑"/>
                <w:sz w:val="21"/>
                <w:szCs w:val="21"/>
                <w:highlight w:val="none"/>
              </w:rPr>
            </w:pPr>
            <w:r>
              <w:rPr>
                <w:rFonts w:hint="eastAsia" w:ascii="华文细黑" w:hAnsi="华文细黑" w:eastAsia="华文细黑" w:cs="华文细黑"/>
                <w:b/>
                <w:bCs/>
                <w:sz w:val="21"/>
                <w:szCs w:val="21"/>
                <w:highlight w:val="none"/>
                <w:lang w:val="en-US" w:eastAsia="zh-CN"/>
              </w:rPr>
              <w:t>综合办公室</w:t>
            </w:r>
          </w:p>
          <w:p>
            <w:pPr>
              <w:adjustRightInd w:val="0"/>
              <w:snapToGrid w:val="0"/>
              <w:spacing w:line="320" w:lineRule="exact"/>
              <w:ind w:right="105" w:rightChars="50"/>
              <w:jc w:val="left"/>
              <w:textAlignment w:val="baseline"/>
              <w:rPr>
                <w:rFonts w:hint="eastAsia" w:ascii="华文细黑" w:hAnsi="华文细黑" w:eastAsia="华文细黑" w:cs="华文细黑"/>
                <w:b w:val="0"/>
                <w:bCs w:val="0"/>
                <w:sz w:val="21"/>
                <w:szCs w:val="21"/>
                <w:highlight w:val="none"/>
                <w:lang w:val="en-US" w:eastAsia="zh-CN"/>
              </w:rPr>
            </w:pPr>
            <w:r>
              <w:rPr>
                <w:rFonts w:hint="eastAsia" w:ascii="华文细黑" w:hAnsi="华文细黑" w:eastAsia="华文细黑" w:cs="华文细黑"/>
                <w:b/>
                <w:bCs/>
                <w:sz w:val="21"/>
                <w:szCs w:val="21"/>
                <w:highlight w:val="none"/>
                <w:lang w:val="en-US" w:eastAsia="zh-CN"/>
              </w:rPr>
              <w:t>审核内容：</w:t>
            </w:r>
            <w:r>
              <w:rPr>
                <w:rFonts w:hint="eastAsia" w:ascii="华文细黑" w:hAnsi="华文细黑" w:eastAsia="华文细黑" w:cs="华文细黑"/>
                <w:b w:val="0"/>
                <w:bCs w:val="0"/>
                <w:sz w:val="21"/>
                <w:szCs w:val="21"/>
                <w:highlight w:val="none"/>
                <w:lang w:val="en-US" w:eastAsia="zh-CN"/>
              </w:rPr>
              <w:t>1.部门职责与权限；2.目标在职责范围内的分解落实情况；3.环境因素和危险源的汇总管理；4.合规义务监视与合规性评价；5.环境与安全控制准则及其运行记录总体情况；6.应急准备和响应；7.不符合及其纠正措施</w:t>
            </w:r>
          </w:p>
          <w:p>
            <w:pPr>
              <w:adjustRightInd w:val="0"/>
              <w:snapToGrid w:val="0"/>
              <w:ind w:right="105" w:rightChars="50"/>
              <w:textAlignment w:val="baseline"/>
              <w:rPr>
                <w:rFonts w:hint="eastAsia" w:ascii="华文细黑" w:hAnsi="华文细黑" w:eastAsia="华文细黑" w:cs="华文细黑"/>
                <w:b/>
                <w:bCs/>
                <w:sz w:val="21"/>
                <w:szCs w:val="21"/>
                <w:highlight w:val="none"/>
                <w:lang w:val="en-US" w:eastAsia="zh-CN"/>
              </w:rPr>
            </w:pPr>
            <w:r>
              <w:rPr>
                <w:rFonts w:hint="eastAsia" w:ascii="华文细黑" w:hAnsi="华文细黑" w:eastAsia="华文细黑" w:cs="华文细黑"/>
                <w:b/>
                <w:bCs/>
                <w:sz w:val="21"/>
                <w:szCs w:val="21"/>
                <w:highlight w:val="none"/>
                <w:lang w:val="en-US" w:eastAsia="zh-CN"/>
              </w:rPr>
              <w:t>涉及条款：</w:t>
            </w:r>
          </w:p>
          <w:p>
            <w:pPr>
              <w:adjustRightInd w:val="0"/>
              <w:snapToGrid w:val="0"/>
              <w:ind w:right="105" w:rightChars="50"/>
              <w:textAlignment w:val="baseline"/>
              <w:rPr>
                <w:rFonts w:hint="eastAsia" w:ascii="华文细黑" w:hAnsi="华文细黑" w:eastAsia="华文细黑" w:cs="华文细黑"/>
                <w:sz w:val="21"/>
                <w:szCs w:val="21"/>
                <w:highlight w:val="none"/>
              </w:rPr>
            </w:pPr>
            <w:r>
              <w:rPr>
                <w:rFonts w:hint="eastAsia" w:ascii="华文细黑" w:hAnsi="华文细黑" w:eastAsia="华文细黑" w:cs="华文细黑"/>
                <w:b w:val="0"/>
                <w:bCs w:val="0"/>
                <w:sz w:val="21"/>
                <w:szCs w:val="21"/>
                <w:highlight w:val="none"/>
              </w:rPr>
              <w:t>Q</w:t>
            </w:r>
            <w:r>
              <w:rPr>
                <w:rFonts w:hint="eastAsia" w:ascii="华文细黑" w:hAnsi="华文细黑" w:eastAsia="华文细黑" w:cs="华文细黑"/>
                <w:b w:val="0"/>
                <w:bCs w:val="0"/>
                <w:sz w:val="21"/>
                <w:szCs w:val="21"/>
                <w:highlight w:val="none"/>
                <w:lang w:val="en-US" w:eastAsia="zh-CN"/>
              </w:rPr>
              <w:t>EO</w:t>
            </w:r>
            <w:r>
              <w:rPr>
                <w:rFonts w:hint="eastAsia" w:ascii="华文细黑" w:hAnsi="华文细黑" w:eastAsia="华文细黑" w:cs="华文细黑"/>
                <w:b w:val="0"/>
                <w:bCs w:val="0"/>
                <w:sz w:val="21"/>
                <w:szCs w:val="21"/>
                <w:highlight w:val="none"/>
              </w:rPr>
              <w:t>:</w:t>
            </w:r>
            <w:r>
              <w:rPr>
                <w:rFonts w:hint="eastAsia" w:ascii="华文细黑" w:hAnsi="华文细黑" w:eastAsia="华文细黑" w:cs="华文细黑"/>
                <w:sz w:val="21"/>
                <w:szCs w:val="21"/>
                <w:highlight w:val="none"/>
              </w:rPr>
              <w:t xml:space="preserve"> 5.3、6.2</w:t>
            </w:r>
          </w:p>
          <w:p>
            <w:pPr>
              <w:pStyle w:val="2"/>
              <w:rPr>
                <w:rFonts w:hint="eastAsia" w:ascii="华文细黑" w:hAnsi="华文细黑" w:eastAsia="华文细黑" w:cs="华文细黑"/>
                <w:lang w:val="en-US" w:eastAsia="zh-CN"/>
              </w:rPr>
            </w:pPr>
            <w:r>
              <w:rPr>
                <w:rFonts w:hint="eastAsia" w:ascii="华文细黑" w:hAnsi="华文细黑" w:eastAsia="华文细黑" w:cs="华文细黑"/>
                <w:sz w:val="21"/>
                <w:szCs w:val="21"/>
                <w:highlight w:val="none"/>
                <w:lang w:val="en-US" w:eastAsia="zh-CN"/>
              </w:rPr>
              <w:t>Q：8.2、8.4</w:t>
            </w:r>
          </w:p>
          <w:p>
            <w:pPr>
              <w:rPr>
                <w:sz w:val="21"/>
                <w:szCs w:val="21"/>
              </w:rPr>
            </w:pPr>
            <w:r>
              <w:rPr>
                <w:rFonts w:hint="eastAsia" w:ascii="华文细黑" w:hAnsi="华文细黑" w:eastAsia="华文细黑" w:cs="华文细黑"/>
                <w:sz w:val="21"/>
                <w:szCs w:val="21"/>
                <w:highlight w:val="none"/>
                <w:lang w:val="en-US" w:eastAsia="zh-CN"/>
              </w:rPr>
              <w:t>EO：</w:t>
            </w:r>
            <w:r>
              <w:rPr>
                <w:rFonts w:hint="eastAsia" w:ascii="华文细黑" w:hAnsi="华文细黑" w:eastAsia="华文细黑" w:cs="华文细黑"/>
                <w:sz w:val="21"/>
                <w:szCs w:val="21"/>
                <w:highlight w:val="none"/>
              </w:rPr>
              <w:t>6.1.2</w:t>
            </w:r>
            <w:r>
              <w:rPr>
                <w:rFonts w:hint="eastAsia" w:ascii="华文细黑" w:hAnsi="华文细黑" w:eastAsia="华文细黑" w:cs="华文细黑"/>
                <w:sz w:val="21"/>
                <w:szCs w:val="21"/>
                <w:highlight w:val="none"/>
                <w:lang w:eastAsia="zh-CN"/>
              </w:rPr>
              <w:t>、</w:t>
            </w:r>
            <w:r>
              <w:rPr>
                <w:rFonts w:hint="eastAsia" w:ascii="华文细黑" w:hAnsi="华文细黑" w:eastAsia="华文细黑" w:cs="华文细黑"/>
                <w:sz w:val="21"/>
                <w:szCs w:val="21"/>
                <w:highlight w:val="none"/>
                <w:lang w:val="en-US" w:eastAsia="zh-CN"/>
              </w:rPr>
              <w:t>6.1.3/9.1.2、8.1、8.2、10.2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华文细黑" w:hAnsi="华文细黑" w:eastAsia="华文细黑" w:cs="华文细黑"/>
                <w:lang w:val="en-US" w:eastAsia="zh-CN"/>
              </w:rPr>
            </w:pPr>
            <w:r>
              <w:rPr>
                <w:rFonts w:hint="eastAsia" w:ascii="宋体" w:hAnsi="宋体" w:eastAsia="宋体" w:cs="Arial"/>
                <w:b w:val="0"/>
                <w:bCs w:val="0"/>
                <w:sz w:val="21"/>
                <w:szCs w:val="21"/>
                <w:highlight w:val="none"/>
                <w:lang w:val="en-US" w:eastAsia="zh-CN"/>
              </w:rPr>
              <w:t>部门职责与权限</w:t>
            </w:r>
          </w:p>
        </w:tc>
        <w:tc>
          <w:tcPr>
            <w:tcW w:w="960" w:type="dxa"/>
          </w:tcPr>
          <w:p>
            <w:pPr>
              <w:rPr>
                <w:rFonts w:hint="default" w:ascii="华文细黑" w:hAnsi="华文细黑" w:eastAsia="华文细黑" w:cs="华文细黑"/>
                <w:lang w:val="en-US" w:eastAsia="zh-CN"/>
              </w:rPr>
            </w:pPr>
            <w:r>
              <w:rPr>
                <w:rFonts w:hint="eastAsia" w:ascii="华文细黑" w:hAnsi="华文细黑" w:eastAsia="华文细黑" w:cs="华文细黑"/>
                <w:lang w:val="en-US" w:eastAsia="zh-CN"/>
              </w:rPr>
              <w:t>QEO</w:t>
            </w:r>
            <w:r>
              <w:rPr>
                <w:rFonts w:hint="eastAsia" w:ascii="华文细黑" w:hAnsi="华文细黑" w:cs="华文细黑"/>
                <w:lang w:val="en-US" w:eastAsia="zh-CN"/>
              </w:rPr>
              <w:t>5.3</w:t>
            </w:r>
          </w:p>
        </w:tc>
        <w:tc>
          <w:tcPr>
            <w:tcW w:w="10004" w:type="dxa"/>
          </w:tcPr>
          <w:p>
            <w:pPr>
              <w:adjustRightInd w:val="0"/>
              <w:snapToGrid w:val="0"/>
              <w:spacing w:line="320" w:lineRule="exact"/>
              <w:ind w:right="105" w:rightChars="50" w:firstLine="420" w:firstLineChars="200"/>
              <w:jc w:val="left"/>
              <w:textAlignment w:val="baseline"/>
            </w:pPr>
            <w:r>
              <w:rPr>
                <w:rFonts w:hint="eastAsia"/>
                <w:lang w:val="en-US" w:eastAsia="zh-CN"/>
              </w:rPr>
              <w:t>组织在手册中确定了综合办公室的职能，人员职责、权限和相互关系。主要包括行政类职责、采购过程控制、销售过程控制和环保和职业健康安全运行控制等。询问综合办公室负责人梅弘，基本清楚其职责内容，符合要求。</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细黑" w:hAnsi="华文细黑" w:eastAsia="华文细黑" w:cs="华文细黑"/>
              </w:rPr>
            </w:pPr>
            <w:r>
              <w:rPr>
                <w:rFonts w:hint="eastAsia" w:ascii="宋体" w:hAnsi="宋体" w:eastAsia="宋体" w:cs="Arial"/>
                <w:b w:val="0"/>
                <w:bCs w:val="0"/>
                <w:sz w:val="21"/>
                <w:szCs w:val="21"/>
                <w:highlight w:val="none"/>
                <w:lang w:val="en-US" w:eastAsia="zh-CN"/>
              </w:rPr>
              <w:t>目标在职责范围内的分解落实情况</w:t>
            </w:r>
          </w:p>
        </w:tc>
        <w:tc>
          <w:tcPr>
            <w:tcW w:w="960" w:type="dxa"/>
          </w:tcPr>
          <w:p>
            <w:pPr>
              <w:rPr>
                <w:rFonts w:hint="default" w:ascii="华文细黑" w:hAnsi="华文细黑" w:eastAsia="华文细黑" w:cs="华文细黑"/>
                <w:lang w:val="en-US"/>
              </w:rPr>
            </w:pPr>
            <w:r>
              <w:rPr>
                <w:rFonts w:hint="eastAsia" w:ascii="华文细黑" w:hAnsi="华文细黑" w:eastAsia="华文细黑" w:cs="华文细黑"/>
                <w:lang w:val="en-US" w:eastAsia="zh-CN"/>
              </w:rPr>
              <w:t>QEO</w:t>
            </w:r>
            <w:r>
              <w:rPr>
                <w:rFonts w:hint="eastAsia" w:ascii="华文细黑" w:hAnsi="华文细黑" w:cs="华文细黑"/>
                <w:lang w:val="en-US" w:eastAsia="zh-CN"/>
              </w:rPr>
              <w:t>6.2</w:t>
            </w:r>
          </w:p>
        </w:tc>
        <w:tc>
          <w:tcPr>
            <w:tcW w:w="10004" w:type="dxa"/>
          </w:tcPr>
          <w:p>
            <w:pPr>
              <w:bidi w:val="0"/>
              <w:ind w:firstLine="420" w:firstLineChars="200"/>
              <w:rPr>
                <w:rFonts w:hint="default"/>
                <w:lang w:val="en-US" w:eastAsia="zh-CN"/>
              </w:rPr>
            </w:pPr>
            <w:r>
              <w:rPr>
                <w:rFonts w:hint="eastAsia"/>
                <w:lang w:val="en-US" w:eastAsia="zh-CN"/>
              </w:rPr>
              <w:t>审核发现，涉及综合办公室的QEO目标分解落实情况如下：</w:t>
            </w:r>
          </w:p>
          <w:p>
            <w:pPr>
              <w:bidi w:val="0"/>
              <w:ind w:firstLine="420" w:firstLineChars="200"/>
              <w:rPr>
                <w:rFonts w:hint="eastAsia"/>
                <w:color w:val="auto"/>
                <w:lang w:val="en-US" w:eastAsia="zh-CN"/>
              </w:rPr>
            </w:pPr>
            <w:r>
              <w:rPr>
                <w:rFonts w:hint="eastAsia"/>
                <w:color w:val="auto"/>
                <w:lang w:val="en-US" w:eastAsia="zh-CN"/>
              </w:rPr>
              <w:t>1文件发放及时率≥99%</w:t>
            </w:r>
          </w:p>
          <w:p>
            <w:pPr>
              <w:bidi w:val="0"/>
              <w:ind w:firstLine="420" w:firstLineChars="200"/>
              <w:rPr>
                <w:rFonts w:hint="eastAsia"/>
                <w:color w:val="auto"/>
                <w:lang w:val="en-US" w:eastAsia="zh-CN"/>
              </w:rPr>
            </w:pPr>
            <w:r>
              <w:rPr>
                <w:rFonts w:hint="eastAsia"/>
                <w:color w:val="auto"/>
                <w:lang w:val="en-US" w:eastAsia="zh-CN"/>
              </w:rPr>
              <w:t>2设备完好率≥98%</w:t>
            </w:r>
          </w:p>
          <w:p>
            <w:pPr>
              <w:bidi w:val="0"/>
              <w:ind w:firstLine="420" w:firstLineChars="200"/>
              <w:rPr>
                <w:rFonts w:hint="eastAsia"/>
                <w:color w:val="auto"/>
                <w:lang w:val="en-US" w:eastAsia="zh-CN"/>
              </w:rPr>
            </w:pPr>
            <w:r>
              <w:rPr>
                <w:rFonts w:hint="eastAsia"/>
                <w:color w:val="auto"/>
                <w:lang w:val="en-US" w:eastAsia="zh-CN"/>
              </w:rPr>
              <w:t>3.合格供方评定率≥99%</w:t>
            </w:r>
          </w:p>
          <w:p>
            <w:pPr>
              <w:bidi w:val="0"/>
              <w:ind w:firstLine="420" w:firstLineChars="200"/>
              <w:rPr>
                <w:rFonts w:hint="eastAsia"/>
                <w:color w:val="auto"/>
                <w:lang w:val="en-US" w:eastAsia="zh-CN"/>
              </w:rPr>
            </w:pPr>
            <w:r>
              <w:rPr>
                <w:rFonts w:hint="eastAsia"/>
                <w:color w:val="auto"/>
                <w:lang w:val="en-US" w:eastAsia="zh-CN"/>
              </w:rPr>
              <w:t>4.合同履约率100%</w:t>
            </w:r>
          </w:p>
          <w:p>
            <w:pPr>
              <w:bidi w:val="0"/>
              <w:ind w:firstLine="420" w:firstLineChars="200"/>
              <w:rPr>
                <w:rFonts w:hint="eastAsia"/>
                <w:color w:val="auto"/>
                <w:lang w:val="en-US" w:eastAsia="zh-CN"/>
              </w:rPr>
            </w:pPr>
            <w:r>
              <w:rPr>
                <w:rFonts w:hint="eastAsia"/>
                <w:color w:val="auto"/>
                <w:lang w:val="en-US" w:eastAsia="zh-CN"/>
              </w:rPr>
              <w:t>5.顾客投诉处理及时率≥99%</w:t>
            </w:r>
          </w:p>
          <w:p>
            <w:pPr>
              <w:bidi w:val="0"/>
              <w:ind w:firstLine="420" w:firstLineChars="200"/>
              <w:rPr>
                <w:rFonts w:hint="eastAsia"/>
                <w:color w:val="auto"/>
                <w:lang w:val="en-US" w:eastAsia="zh-CN"/>
              </w:rPr>
            </w:pPr>
            <w:r>
              <w:rPr>
                <w:rFonts w:hint="eastAsia"/>
                <w:color w:val="auto"/>
                <w:lang w:val="en-US" w:eastAsia="zh-CN"/>
              </w:rPr>
              <w:t>6.顾客满意率≥95分</w:t>
            </w:r>
          </w:p>
          <w:p>
            <w:pPr>
              <w:bidi w:val="0"/>
              <w:ind w:firstLine="420" w:firstLineChars="200"/>
              <w:rPr>
                <w:rFonts w:hint="default"/>
                <w:color w:val="auto"/>
                <w:lang w:val="en-US" w:eastAsia="zh-CN"/>
              </w:rPr>
            </w:pPr>
            <w:r>
              <w:rPr>
                <w:rFonts w:hint="eastAsia"/>
                <w:color w:val="auto"/>
                <w:lang w:val="en-US" w:eastAsia="zh-CN"/>
              </w:rPr>
              <w:t>7.废弃物请回收部门清运及时率100%</w:t>
            </w:r>
          </w:p>
          <w:p>
            <w:pPr>
              <w:bidi w:val="0"/>
              <w:ind w:firstLine="420" w:firstLineChars="200"/>
              <w:rPr>
                <w:rFonts w:hint="eastAsia"/>
                <w:lang w:val="en-US" w:eastAsia="zh-CN"/>
              </w:rPr>
            </w:pPr>
            <w:r>
              <w:rPr>
                <w:rFonts w:hint="eastAsia"/>
                <w:lang w:val="en-US" w:eastAsia="zh-CN"/>
              </w:rPr>
              <w:t>目标可测量，与组织方针一致。</w:t>
            </w:r>
          </w:p>
          <w:p>
            <w:pPr>
              <w:spacing w:line="280" w:lineRule="exact"/>
              <w:ind w:firstLine="420" w:firstLineChars="200"/>
            </w:pPr>
            <w:r>
              <w:rPr>
                <w:rFonts w:hint="eastAsia"/>
                <w:lang w:val="en-US" w:eastAsia="zh-CN"/>
              </w:rPr>
              <w:t>抽查近一年的部门目标分解落实情况，均达成，基本符合监视要求。</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160" w:type="dxa"/>
            <w:vAlign w:val="top"/>
          </w:tcPr>
          <w:p>
            <w:pPr>
              <w:bidi w:val="0"/>
              <w:rPr>
                <w:rFonts w:hint="default"/>
                <w:lang w:val="en-US" w:eastAsia="zh-CN"/>
              </w:rPr>
            </w:pPr>
            <w:r>
              <w:rPr>
                <w:rFonts w:hint="eastAsia"/>
                <w:lang w:val="en-US" w:eastAsia="zh-CN"/>
              </w:rPr>
              <w:t>销售过程控制</w:t>
            </w:r>
          </w:p>
        </w:tc>
        <w:tc>
          <w:tcPr>
            <w:tcW w:w="960" w:type="dxa"/>
            <w:vAlign w:val="top"/>
          </w:tcPr>
          <w:p>
            <w:pPr>
              <w:bidi w:val="0"/>
              <w:rPr>
                <w:rFonts w:hint="default"/>
                <w:lang w:val="en-US" w:eastAsia="zh-CN"/>
              </w:rPr>
            </w:pPr>
            <w:r>
              <w:rPr>
                <w:rFonts w:hint="eastAsia"/>
                <w:lang w:val="en-US" w:eastAsia="zh-CN"/>
              </w:rPr>
              <w:t>Q</w:t>
            </w:r>
            <w:r>
              <w:rPr>
                <w:rFonts w:hint="eastAsia"/>
              </w:rPr>
              <w:t>8.</w:t>
            </w:r>
            <w:r>
              <w:rPr>
                <w:rFonts w:hint="eastAsia"/>
                <w:lang w:val="en-US" w:eastAsia="zh-CN"/>
              </w:rPr>
              <w:t>2</w:t>
            </w:r>
          </w:p>
        </w:tc>
        <w:tc>
          <w:tcPr>
            <w:tcW w:w="10004" w:type="dxa"/>
            <w:vAlign w:val="top"/>
          </w:tcPr>
          <w:p>
            <w:pPr>
              <w:bidi w:val="0"/>
              <w:ind w:firstLine="420" w:firstLineChars="200"/>
              <w:rPr>
                <w:rFonts w:hint="eastAsia"/>
                <w:lang w:val="en-US" w:eastAsia="zh-CN"/>
              </w:rPr>
            </w:pPr>
            <w:r>
              <w:rPr>
                <w:rFonts w:hint="eastAsia"/>
                <w:lang w:val="en-US" w:eastAsia="zh-CN"/>
              </w:rPr>
              <w:t>提供</w:t>
            </w:r>
            <w:r>
              <w:rPr>
                <w:rFonts w:hint="eastAsia" w:ascii="Times New Roman" w:hAnsi="Times New Roman" w:cs="Times New Roman"/>
                <w:lang w:val="en-US" w:eastAsia="zh-CN"/>
              </w:rPr>
              <w:t>PSBA/QEOP12《与顾客有关的过程控制程序</w:t>
            </w:r>
            <w:r>
              <w:rPr>
                <w:rFonts w:hint="eastAsia"/>
                <w:lang w:val="en-US" w:eastAsia="zh-CN"/>
              </w:rPr>
              <w:t>》：规定了对顾客要求的识别，服务要求的评审等，确保与顾客有关过程得到有效控制，从而使顾客满意。</w:t>
            </w:r>
          </w:p>
          <w:p>
            <w:pPr>
              <w:ind w:firstLine="420" w:firstLineChars="200"/>
              <w:rPr>
                <w:rFonts w:hint="eastAsia" w:ascii="Times New Roman" w:hAnsi="Times New Roman" w:cs="Times New Roman"/>
                <w:lang w:val="en-US" w:eastAsia="zh-CN"/>
              </w:rPr>
            </w:pPr>
            <w:r>
              <w:rPr>
                <w:rFonts w:hint="eastAsia"/>
                <w:lang w:val="en-US" w:eastAsia="zh-CN"/>
              </w:rPr>
              <w:t>审核发现，组织提供的保安服务的要求包括：适用的法律法规要求；组织认为的必要要求；合同；顾客规定的服务要求，包括有关保安服务人员更换方面的要求等；组织的</w:t>
            </w:r>
            <w:r>
              <w:rPr>
                <w:rFonts w:hint="eastAsia" w:ascii="Times New Roman" w:hAnsi="Times New Roman" w:cs="Times New Roman"/>
                <w:lang w:val="en-US" w:eastAsia="zh-CN"/>
              </w:rPr>
              <w:t>销售服务基本已成熟，收到合同没有异议后，总经理或其代表直接在合同上签字</w:t>
            </w:r>
            <w:r>
              <w:rPr>
                <w:rFonts w:hint="eastAsia" w:cs="Times New Roman"/>
                <w:lang w:val="en-US" w:eastAsia="zh-CN"/>
              </w:rPr>
              <w:t>（盖章）</w:t>
            </w:r>
            <w:r>
              <w:rPr>
                <w:rFonts w:hint="eastAsia" w:ascii="Times New Roman" w:hAnsi="Times New Roman" w:cs="Times New Roman"/>
                <w:lang w:val="en-US" w:eastAsia="zh-CN"/>
              </w:rPr>
              <w:t>即完成合同评审，特殊合同需相关部门人员一起评审，目前承接的合同都是常规业务合同。</w:t>
            </w:r>
          </w:p>
          <w:p>
            <w:pPr>
              <w:bidi w:val="0"/>
              <w:ind w:firstLine="420" w:firstLineChars="200"/>
              <w:rPr>
                <w:rFonts w:hint="default"/>
                <w:color w:val="auto"/>
                <w:lang w:val="en-US" w:eastAsia="zh-CN"/>
              </w:rPr>
            </w:pPr>
            <w:r>
              <w:rPr>
                <w:rFonts w:hint="eastAsia"/>
                <w:lang w:val="en-US" w:eastAsia="zh-CN"/>
              </w:rPr>
              <w:t>提供保安服务合同，</w:t>
            </w:r>
            <w:r>
              <w:rPr>
                <w:rFonts w:hint="eastAsia"/>
                <w:color w:val="auto"/>
                <w:lang w:val="en-US" w:eastAsia="zh-CN"/>
              </w:rPr>
              <w:t>抽查内容如下：</w:t>
            </w:r>
          </w:p>
          <w:p>
            <w:pPr>
              <w:bidi w:val="0"/>
              <w:ind w:firstLine="420" w:firstLineChars="200"/>
              <w:rPr>
                <w:rFonts w:hint="default"/>
                <w:lang w:val="en-US" w:eastAsia="zh-CN"/>
              </w:rPr>
            </w:pPr>
            <w:r>
              <w:rPr>
                <w:rFonts w:hint="eastAsia"/>
                <w:lang w:val="en-US" w:eastAsia="zh-CN"/>
              </w:rPr>
              <w:t>抽项目合同1：客户：浙江民泰商业银行股份有限公司；合同内容：保安服务；服务期限：2022年1月1日至2022年12月31日；其余内容包括保安员要求、费用标准、双方权利义务、违约责任、保安员行为准则等，基本满足顾客要求的识别要求，有双方盖章。</w:t>
            </w:r>
          </w:p>
          <w:p>
            <w:pPr>
              <w:bidi w:val="0"/>
              <w:ind w:firstLine="420" w:firstLineChars="200"/>
              <w:rPr>
                <w:rFonts w:hint="default"/>
                <w:lang w:val="en-US" w:eastAsia="zh-CN"/>
              </w:rPr>
            </w:pPr>
            <w:r>
              <w:rPr>
                <w:rFonts w:hint="eastAsia"/>
                <w:lang w:val="en-US" w:eastAsia="zh-CN"/>
              </w:rPr>
              <w:t>抽项目合同1：客户：杭州华朴物业有限公司；合同内容：保安服务；服务期限：2022年3月16日至2023年3月15日；其余内容包括服务标准、保安员要求、费用标准、双方权利义务、违约责任等，基本满足顾客要求的识别要求，有双方盖章。</w:t>
            </w:r>
          </w:p>
          <w:p>
            <w:pPr>
              <w:spacing w:line="280" w:lineRule="exact"/>
              <w:ind w:firstLine="420" w:firstLineChars="200"/>
              <w:rPr>
                <w:rFonts w:hint="eastAsia" w:ascii="Times New Roman" w:hAnsi="Times New Roman" w:eastAsia="华文细黑" w:cs="Times New Roman"/>
                <w:color w:val="FF0000"/>
                <w:kern w:val="2"/>
                <w:sz w:val="21"/>
                <w:szCs w:val="21"/>
                <w:lang w:val="en-US" w:eastAsia="zh-CN" w:bidi="ar-SA"/>
              </w:rPr>
            </w:pPr>
            <w:r>
              <w:rPr>
                <w:rFonts w:hint="eastAsia"/>
                <w:lang w:val="en-US" w:eastAsia="zh-CN"/>
              </w:rPr>
              <w:t>经询问，未发生合同变更及顾客要求发生变更造成与先前合同或订单要求表述存在差异的情况。</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采购过程控制</w:t>
            </w:r>
          </w:p>
        </w:tc>
        <w:tc>
          <w:tcPr>
            <w:tcW w:w="960"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w:t>
            </w:r>
            <w:r>
              <w:rPr>
                <w:rFonts w:hint="eastAsia" w:ascii="宋体" w:hAnsi="宋体" w:cs="Arial"/>
                <w:sz w:val="21"/>
                <w:szCs w:val="21"/>
                <w:highlight w:val="none"/>
              </w:rPr>
              <w:t>8.</w:t>
            </w:r>
            <w:r>
              <w:rPr>
                <w:rFonts w:hint="eastAsia" w:ascii="宋体" w:hAnsi="宋体" w:cs="Arial"/>
                <w:sz w:val="21"/>
                <w:szCs w:val="21"/>
                <w:highlight w:val="none"/>
                <w:lang w:val="en-US" w:eastAsia="zh-CN"/>
              </w:rPr>
              <w:t>4</w:t>
            </w:r>
          </w:p>
        </w:tc>
        <w:tc>
          <w:tcPr>
            <w:tcW w:w="10004" w:type="dxa"/>
          </w:tcPr>
          <w:p>
            <w:pPr>
              <w:bidi w:val="0"/>
              <w:ind w:firstLine="420" w:firstLineChars="200"/>
              <w:rPr>
                <w:rFonts w:hint="eastAsia"/>
                <w:lang w:val="en-US" w:eastAsia="zh-CN"/>
              </w:rPr>
            </w:pPr>
            <w:r>
              <w:rPr>
                <w:rFonts w:hint="eastAsia"/>
                <w:lang w:val="en-US" w:eastAsia="zh-CN"/>
              </w:rPr>
              <w:t>组织编制了PSBA/QEOP13《采购控制程序》，内容包括目的、范围、职责、采购程序、供方评审程序等内容作了规定，基本满足控制策划要求。</w:t>
            </w:r>
          </w:p>
          <w:p>
            <w:pPr>
              <w:bidi w:val="0"/>
              <w:ind w:firstLine="420" w:firstLineChars="200"/>
              <w:rPr>
                <w:rFonts w:hint="eastAsia"/>
                <w:lang w:val="en-US" w:eastAsia="zh-CN"/>
              </w:rPr>
            </w:pPr>
            <w:r>
              <w:rPr>
                <w:rFonts w:hint="eastAsia"/>
                <w:lang w:val="en-US" w:eastAsia="zh-CN"/>
              </w:rPr>
              <w:t>组织对供方进行定期评价，内容包括：供方规模、市场信誉、供货能力、供方的供货期、付款方式、供方质量保证能力等，经由总经理确认后，纳入合格供方名录。</w:t>
            </w:r>
          </w:p>
          <w:p>
            <w:pPr>
              <w:bidi w:val="0"/>
              <w:ind w:firstLine="420" w:firstLineChars="200"/>
              <w:rPr>
                <w:rFonts w:hint="eastAsia"/>
                <w:lang w:val="en-US" w:eastAsia="zh-CN"/>
              </w:rPr>
            </w:pPr>
            <w:r>
              <w:rPr>
                <w:rFonts w:hint="eastAsia"/>
                <w:lang w:val="en-US" w:eastAsia="zh-CN"/>
              </w:rPr>
              <w:t>提供供应商评审表：包括供应商名称、种类、物料来源（制造商）、企业负责人、业务联系方式、评鉴方式、评鉴意见（相关部门）等内容。</w:t>
            </w:r>
          </w:p>
          <w:p>
            <w:pPr>
              <w:bidi w:val="0"/>
              <w:ind w:firstLine="420" w:firstLineChars="200"/>
              <w:rPr>
                <w:rFonts w:hint="eastAsia"/>
                <w:lang w:val="en-US" w:eastAsia="zh-CN"/>
              </w:rPr>
            </w:pPr>
            <w:r>
              <w:rPr>
                <w:rFonts w:hint="eastAsia"/>
                <w:lang w:val="en-US" w:eastAsia="zh-CN"/>
              </w:rPr>
              <w:t>抽查的产品供方如下：</w:t>
            </w:r>
          </w:p>
          <w:p>
            <w:pPr>
              <w:bidi w:val="0"/>
              <w:ind w:firstLine="420" w:firstLineChars="200"/>
              <w:rPr>
                <w:rFonts w:hint="default"/>
                <w:lang w:val="en-US" w:eastAsia="zh-CN"/>
              </w:rPr>
            </w:pPr>
            <w:r>
              <w:rPr>
                <w:rFonts w:hint="eastAsia"/>
                <w:lang w:val="en-US" w:eastAsia="zh-CN"/>
              </w:rPr>
              <w:t>①</w:t>
            </w:r>
            <w:r>
              <w:rPr>
                <w:rFonts w:hint="default"/>
                <w:lang w:val="en-US" w:eastAsia="zh-CN"/>
              </w:rPr>
              <w:t>杭州春芽环保科技有限公司</w:t>
            </w:r>
            <w:r>
              <w:rPr>
                <w:rFonts w:hint="eastAsia"/>
                <w:lang w:val="en-US" w:eastAsia="zh-CN"/>
              </w:rPr>
              <w:t xml:space="preserve">  劳保用品</w:t>
            </w:r>
          </w:p>
          <w:p>
            <w:pPr>
              <w:bidi w:val="0"/>
              <w:ind w:firstLine="420" w:firstLineChars="200"/>
              <w:rPr>
                <w:rFonts w:hint="default"/>
                <w:lang w:val="en-US" w:eastAsia="zh-CN"/>
              </w:rPr>
            </w:pPr>
            <w:r>
              <w:rPr>
                <w:rFonts w:hint="eastAsia"/>
                <w:lang w:val="en-US" w:eastAsia="zh-CN"/>
              </w:rPr>
              <w:t>②杭州双头豹服饰有限公司是</w:t>
            </w:r>
            <w:r>
              <w:rPr>
                <w:rFonts w:hint="eastAsia"/>
                <w:lang w:val="en-US" w:eastAsia="zh-CN"/>
              </w:rPr>
              <w:tab/>
            </w:r>
            <w:r>
              <w:rPr>
                <w:rFonts w:hint="eastAsia"/>
                <w:lang w:val="en-US" w:eastAsia="zh-CN"/>
              </w:rPr>
              <w:t>制服</w:t>
            </w:r>
          </w:p>
          <w:p>
            <w:pPr>
              <w:bidi w:val="0"/>
              <w:ind w:firstLine="420" w:firstLineChars="200"/>
              <w:rPr>
                <w:rFonts w:hint="eastAsia"/>
                <w:lang w:val="en-US" w:eastAsia="zh-CN"/>
              </w:rPr>
            </w:pPr>
            <w:r>
              <w:rPr>
                <w:rFonts w:hint="eastAsia"/>
                <w:lang w:val="en-US" w:eastAsia="zh-CN"/>
              </w:rPr>
              <w:t>③杭州千格办公通讯设备有限公司   办公设备及耗材</w:t>
            </w:r>
          </w:p>
          <w:p>
            <w:pPr>
              <w:bidi w:val="0"/>
              <w:ind w:firstLine="420" w:firstLineChars="200"/>
              <w:rPr>
                <w:rFonts w:hint="eastAsia"/>
                <w:lang w:val="en-US" w:eastAsia="zh-CN"/>
              </w:rPr>
            </w:pPr>
            <w:r>
              <w:rPr>
                <w:rFonts w:hint="eastAsia"/>
                <w:lang w:val="en-US" w:eastAsia="zh-CN"/>
              </w:rPr>
              <w:t>组织有对供应商进行评审，建立了合格供应商清单，基本符合控制要求。</w:t>
            </w:r>
          </w:p>
          <w:p>
            <w:pPr>
              <w:bidi w:val="0"/>
              <w:ind w:firstLine="420" w:firstLineChars="200"/>
              <w:rPr>
                <w:rFonts w:hint="default"/>
                <w:color w:val="FF0000"/>
                <w:lang w:val="en-US"/>
              </w:rPr>
            </w:pPr>
            <w:r>
              <w:rPr>
                <w:rFonts w:hint="eastAsia"/>
                <w:lang w:val="en-US" w:eastAsia="zh-CN"/>
              </w:rPr>
              <w:t>外包过程：无</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160"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环境因素与危险源的辨识、评价与控制的汇总管理</w:t>
            </w:r>
          </w:p>
        </w:tc>
        <w:tc>
          <w:tcPr>
            <w:tcW w:w="960" w:type="dxa"/>
          </w:tcPr>
          <w:p>
            <w:pPr>
              <w:rPr>
                <w:rFonts w:hint="default" w:ascii="华文细黑" w:hAnsi="华文细黑" w:eastAsia="华文细黑" w:cs="华文细黑"/>
                <w:lang w:val="en-US" w:eastAsia="zh-CN"/>
              </w:rPr>
            </w:pPr>
            <w:r>
              <w:rPr>
                <w:rFonts w:hint="eastAsia" w:ascii="华文细黑" w:hAnsi="华文细黑" w:cs="华文细黑"/>
                <w:color w:val="auto"/>
                <w:lang w:val="en-US" w:eastAsia="zh-CN"/>
              </w:rPr>
              <w:t>EO6.1.2</w:t>
            </w:r>
          </w:p>
        </w:tc>
        <w:tc>
          <w:tcPr>
            <w:tcW w:w="10004" w:type="dxa"/>
          </w:tcPr>
          <w:p>
            <w:pPr>
              <w:spacing w:line="280" w:lineRule="exact"/>
              <w:ind w:firstLine="420" w:firstLineChars="200"/>
              <w:jc w:val="left"/>
              <w:rPr>
                <w:rFonts w:hint="eastAsia" w:ascii="Times New Roman" w:hAnsi="Times New Roman"/>
                <w:color w:val="auto"/>
                <w:szCs w:val="21"/>
              </w:rPr>
            </w:pPr>
            <w:r>
              <w:rPr>
                <w:rFonts w:hint="eastAsia" w:ascii="Times New Roman" w:hAnsi="Times New Roman"/>
                <w:color w:val="auto"/>
                <w:szCs w:val="21"/>
                <w:lang w:val="en-US" w:eastAsia="zh-CN"/>
              </w:rPr>
              <w:t>组织制定了</w:t>
            </w:r>
            <w:r>
              <w:rPr>
                <w:rFonts w:hint="eastAsia" w:ascii="Times New Roman" w:hAnsi="Times New Roman"/>
                <w:color w:val="auto"/>
                <w:szCs w:val="21"/>
              </w:rPr>
              <w:t>《环境因素识别评价控制程序》用以指导进行环境因素的识别、评价，以确定重要环境因素以及对环境因素的定期更新。</w:t>
            </w:r>
          </w:p>
          <w:p>
            <w:pPr>
              <w:spacing w:line="280" w:lineRule="exact"/>
              <w:ind w:firstLine="420" w:firstLineChars="200"/>
              <w:jc w:val="left"/>
              <w:rPr>
                <w:rFonts w:hint="eastAsia" w:ascii="Times New Roman" w:hAnsi="Times New Roman"/>
                <w:color w:val="auto"/>
                <w:szCs w:val="21"/>
              </w:rPr>
            </w:pPr>
            <w:r>
              <w:rPr>
                <w:rFonts w:hint="eastAsia" w:ascii="Times New Roman" w:hAnsi="Times New Roman"/>
                <w:color w:val="auto"/>
                <w:szCs w:val="21"/>
                <w:lang w:val="en-US" w:eastAsia="zh-CN"/>
              </w:rPr>
              <w:t>组织制定了</w:t>
            </w:r>
            <w:r>
              <w:rPr>
                <w:rFonts w:hint="eastAsia" w:ascii="Times New Roman" w:hAnsi="Times New Roman"/>
                <w:color w:val="auto"/>
                <w:szCs w:val="21"/>
              </w:rPr>
              <w:t>《环境因素识别</w:t>
            </w:r>
            <w:r>
              <w:rPr>
                <w:rFonts w:hint="eastAsia"/>
                <w:color w:val="auto"/>
                <w:szCs w:val="21"/>
                <w:lang w:val="en-US" w:eastAsia="zh-CN"/>
              </w:rPr>
              <w:t>和</w:t>
            </w:r>
            <w:r>
              <w:rPr>
                <w:rFonts w:hint="eastAsia" w:ascii="Times New Roman" w:hAnsi="Times New Roman"/>
                <w:color w:val="auto"/>
                <w:szCs w:val="21"/>
              </w:rPr>
              <w:t>评价控制程序》用以指导进行环境因素的识别、评价，以确定重要环境因素以及对环境因素的定期更新。</w:t>
            </w:r>
          </w:p>
          <w:p>
            <w:pPr>
              <w:spacing w:line="280" w:lineRule="exact"/>
              <w:ind w:firstLine="420" w:firstLineChars="200"/>
              <w:jc w:val="left"/>
              <w:rPr>
                <w:rFonts w:hint="eastAsia" w:ascii="Times New Roman" w:hAnsi="Times New Roman"/>
                <w:color w:val="auto"/>
                <w:szCs w:val="21"/>
              </w:rPr>
            </w:pPr>
            <w:r>
              <w:rPr>
                <w:rFonts w:hint="eastAsia" w:ascii="Times New Roman" w:hAnsi="Times New Roman"/>
                <w:color w:val="auto"/>
                <w:szCs w:val="21"/>
              </w:rPr>
              <w:t>提供了《环境因素</w:t>
            </w:r>
            <w:r>
              <w:rPr>
                <w:rFonts w:hint="eastAsia"/>
                <w:color w:val="auto"/>
                <w:szCs w:val="21"/>
                <w:lang w:val="en-US" w:eastAsia="zh-CN"/>
              </w:rPr>
              <w:t>调查</w:t>
            </w:r>
            <w:r>
              <w:rPr>
                <w:rFonts w:hint="eastAsia" w:ascii="Times New Roman" w:hAnsi="Times New Roman"/>
                <w:color w:val="auto"/>
                <w:szCs w:val="21"/>
              </w:rPr>
              <w:t>表》</w:t>
            </w:r>
            <w:r>
              <w:rPr>
                <w:rFonts w:hint="eastAsia" w:ascii="Times New Roman" w:hAnsi="Times New Roman"/>
                <w:color w:val="auto"/>
                <w:szCs w:val="21"/>
                <w:lang w:eastAsia="zh-CN"/>
              </w:rPr>
              <w:t>：</w:t>
            </w:r>
            <w:r>
              <w:rPr>
                <w:rFonts w:hint="eastAsia" w:ascii="Times New Roman" w:hAnsi="Times New Roman"/>
                <w:color w:val="auto"/>
                <w:szCs w:val="21"/>
              </w:rPr>
              <w:t>识别的环境因素标明时态、状态和对环境的影响；</w:t>
            </w:r>
            <w:r>
              <w:rPr>
                <w:rFonts w:hint="eastAsia" w:ascii="Times New Roman" w:hAnsi="Times New Roman"/>
                <w:color w:val="auto"/>
                <w:szCs w:val="21"/>
                <w:lang w:val="en-US" w:eastAsia="zh-CN"/>
              </w:rPr>
              <w:t>识别的环境因素包括</w:t>
            </w:r>
            <w:r>
              <w:rPr>
                <w:rFonts w:hint="eastAsia" w:ascii="Times New Roman" w:hAnsi="Times New Roman"/>
                <w:color w:val="auto"/>
                <w:szCs w:val="21"/>
              </w:rPr>
              <w:t>在办公</w:t>
            </w:r>
            <w:r>
              <w:rPr>
                <w:rFonts w:hint="eastAsia" w:ascii="Times New Roman" w:hAnsi="Times New Roman"/>
                <w:color w:val="auto"/>
                <w:szCs w:val="21"/>
                <w:lang w:val="en-US" w:eastAsia="zh-CN"/>
              </w:rPr>
              <w:t>和</w:t>
            </w:r>
            <w:r>
              <w:rPr>
                <w:rFonts w:hint="eastAsia"/>
                <w:color w:val="auto"/>
                <w:szCs w:val="21"/>
                <w:lang w:val="en-US" w:eastAsia="zh-CN"/>
              </w:rPr>
              <w:t>安保</w:t>
            </w:r>
            <w:r>
              <w:rPr>
                <w:rFonts w:hint="eastAsia" w:ascii="Times New Roman" w:hAnsi="Times New Roman"/>
                <w:color w:val="auto"/>
                <w:szCs w:val="21"/>
                <w:lang w:val="en-US" w:eastAsia="zh-CN"/>
              </w:rPr>
              <w:t>服务</w:t>
            </w:r>
            <w:r>
              <w:rPr>
                <w:rFonts w:hint="eastAsia" w:ascii="Times New Roman" w:hAnsi="Times New Roman"/>
                <w:color w:val="auto"/>
                <w:szCs w:val="21"/>
              </w:rPr>
              <w:t>活动中产生的水、电等消耗</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生活</w:t>
            </w:r>
            <w:r>
              <w:rPr>
                <w:rFonts w:hint="eastAsia" w:ascii="Times New Roman" w:hAnsi="Times New Roman"/>
                <w:color w:val="auto"/>
                <w:szCs w:val="21"/>
              </w:rPr>
              <w:t>污水</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一般固废</w:t>
            </w:r>
            <w:r>
              <w:rPr>
                <w:rFonts w:hint="eastAsia" w:ascii="Times New Roman" w:hAnsi="Times New Roman"/>
                <w:color w:val="auto"/>
                <w:szCs w:val="21"/>
              </w:rPr>
              <w:t>排放</w:t>
            </w:r>
            <w:r>
              <w:rPr>
                <w:rFonts w:hint="eastAsia"/>
                <w:color w:val="auto"/>
                <w:szCs w:val="21"/>
                <w:lang w:eastAsia="zh-CN"/>
              </w:rPr>
              <w:t>、</w:t>
            </w:r>
            <w:r>
              <w:rPr>
                <w:rFonts w:hint="eastAsia" w:ascii="Times New Roman" w:hAnsi="Times New Roman"/>
                <w:color w:val="auto"/>
                <w:szCs w:val="21"/>
                <w:lang w:val="en-US" w:eastAsia="zh-CN"/>
              </w:rPr>
              <w:t>潜在火灾</w:t>
            </w:r>
            <w:r>
              <w:rPr>
                <w:rFonts w:hint="eastAsia" w:ascii="Times New Roman" w:hAnsi="Times New Roman"/>
                <w:color w:val="auto"/>
                <w:szCs w:val="21"/>
              </w:rPr>
              <w:t>等，识别基本充分。</w:t>
            </w:r>
          </w:p>
          <w:p>
            <w:pPr>
              <w:spacing w:line="280" w:lineRule="exact"/>
              <w:ind w:firstLine="420" w:firstLineChars="200"/>
              <w:jc w:val="left"/>
              <w:rPr>
                <w:rFonts w:hint="eastAsia" w:ascii="Times New Roman" w:hAnsi="Times New Roman"/>
                <w:color w:val="auto"/>
                <w:szCs w:val="21"/>
                <w:lang w:val="en-US" w:eastAsia="zh-CN"/>
              </w:rPr>
            </w:pPr>
            <w:r>
              <w:rPr>
                <w:rFonts w:hint="eastAsia" w:ascii="Times New Roman" w:hAnsi="Times New Roman"/>
                <w:color w:val="auto"/>
                <w:szCs w:val="21"/>
              </w:rPr>
              <w:t>重要环境因素由</w:t>
            </w:r>
            <w:r>
              <w:rPr>
                <w:rFonts w:hint="eastAsia"/>
                <w:color w:val="auto"/>
                <w:szCs w:val="21"/>
                <w:lang w:eastAsia="zh-CN"/>
              </w:rPr>
              <w:t>综合办公室</w:t>
            </w:r>
            <w:r>
              <w:rPr>
                <w:rFonts w:hint="eastAsia" w:ascii="Times New Roman" w:hAnsi="Times New Roman"/>
                <w:color w:val="auto"/>
                <w:szCs w:val="21"/>
              </w:rPr>
              <w:t>统计综合评分方法确定</w:t>
            </w:r>
            <w:r>
              <w:rPr>
                <w:rFonts w:hint="eastAsia" w:ascii="Times New Roman" w:hAnsi="Times New Roman"/>
                <w:color w:val="auto"/>
                <w:szCs w:val="21"/>
                <w:lang w:eastAsia="zh-CN"/>
              </w:rPr>
              <w:t>。</w:t>
            </w:r>
            <w:r>
              <w:rPr>
                <w:rFonts w:hint="eastAsia" w:ascii="Times New Roman" w:hAnsi="Times New Roman"/>
                <w:color w:val="auto"/>
                <w:szCs w:val="21"/>
              </w:rPr>
              <w:t>提供了</w:t>
            </w:r>
            <w:r>
              <w:rPr>
                <w:rFonts w:hint="eastAsia" w:ascii="Times New Roman" w:hAnsi="Times New Roman"/>
                <w:color w:val="auto"/>
                <w:szCs w:val="21"/>
                <w:lang w:eastAsia="zh-CN"/>
              </w:rPr>
              <w:t>《</w:t>
            </w:r>
            <w:r>
              <w:rPr>
                <w:rFonts w:hint="eastAsia" w:ascii="Times New Roman" w:hAnsi="Times New Roman"/>
                <w:color w:val="auto"/>
                <w:szCs w:val="21"/>
              </w:rPr>
              <w:t>重要环境因素清单</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组织</w:t>
            </w:r>
            <w:r>
              <w:rPr>
                <w:rFonts w:hint="eastAsia" w:ascii="Times New Roman" w:hAnsi="Times New Roman"/>
                <w:color w:val="auto"/>
                <w:szCs w:val="21"/>
              </w:rPr>
              <w:t>重要环境因素</w:t>
            </w:r>
            <w:r>
              <w:rPr>
                <w:rFonts w:hint="eastAsia" w:ascii="Times New Roman" w:hAnsi="Times New Roman"/>
                <w:color w:val="auto"/>
                <w:szCs w:val="21"/>
                <w:lang w:val="en-US" w:eastAsia="zh-CN"/>
              </w:rPr>
              <w:t>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78"/>
              <w:gridCol w:w="2156"/>
              <w:gridCol w:w="2341"/>
              <w:gridCol w:w="1263"/>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93" w:type="dxa"/>
                  <w:noWrap w:val="0"/>
                  <w:vAlign w:val="center"/>
                </w:tcPr>
                <w:p>
                  <w:pPr>
                    <w:spacing w:before="109" w:beforeLines="35" w:after="109" w:afterLines="35" w:line="0" w:lineRule="atLeast"/>
                    <w:jc w:val="center"/>
                    <w:rPr>
                      <w:rFonts w:hint="eastAsia" w:ascii="华文细黑" w:hAnsi="华文细黑" w:eastAsia="华文细黑" w:cs="华文细黑"/>
                      <w:bCs/>
                      <w:sz w:val="21"/>
                      <w:szCs w:val="21"/>
                    </w:rPr>
                  </w:pPr>
                  <w:r>
                    <w:rPr>
                      <w:rFonts w:hint="eastAsia" w:ascii="华文细黑" w:hAnsi="华文细黑" w:eastAsia="华文细黑" w:cs="华文细黑"/>
                      <w:sz w:val="21"/>
                      <w:szCs w:val="21"/>
                    </w:rPr>
                    <w:t>序号</w:t>
                  </w:r>
                </w:p>
              </w:tc>
              <w:tc>
                <w:tcPr>
                  <w:tcW w:w="1978" w:type="dxa"/>
                  <w:noWrap w:val="0"/>
                  <w:vAlign w:val="center"/>
                </w:tcPr>
                <w:p>
                  <w:pPr>
                    <w:spacing w:before="109" w:beforeLines="35" w:after="109" w:afterLines="35" w:line="0" w:lineRule="atLeast"/>
                    <w:jc w:val="both"/>
                    <w:rPr>
                      <w:rFonts w:hint="eastAsia" w:ascii="华文细黑" w:hAnsi="华文细黑" w:eastAsia="华文细黑" w:cs="华文细黑"/>
                      <w:bCs/>
                      <w:sz w:val="21"/>
                      <w:szCs w:val="21"/>
                    </w:rPr>
                  </w:pPr>
                  <w:r>
                    <w:rPr>
                      <w:rFonts w:hint="eastAsia" w:ascii="华文细黑" w:hAnsi="华文细黑" w:eastAsia="华文细黑" w:cs="华文细黑"/>
                      <w:sz w:val="21"/>
                      <w:szCs w:val="21"/>
                    </w:rPr>
                    <w:t>环境因素</w:t>
                  </w:r>
                  <w:r>
                    <w:rPr>
                      <w:rFonts w:hint="eastAsia" w:ascii="华文细黑" w:hAnsi="华文细黑" w:eastAsia="华文细黑" w:cs="华文细黑"/>
                      <w:sz w:val="21"/>
                      <w:szCs w:val="21"/>
                      <w:lang w:val="en-US" w:eastAsia="zh-CN"/>
                    </w:rPr>
                    <w:t xml:space="preserve">  </w:t>
                  </w:r>
                </w:p>
              </w:tc>
              <w:tc>
                <w:tcPr>
                  <w:tcW w:w="2156" w:type="dxa"/>
                  <w:noWrap w:val="0"/>
                  <w:vAlign w:val="center"/>
                </w:tcPr>
                <w:p>
                  <w:pPr>
                    <w:spacing w:before="109" w:beforeLines="35" w:after="109" w:afterLines="35" w:line="0" w:lineRule="atLeast"/>
                    <w:jc w:val="center"/>
                    <w:rPr>
                      <w:rFonts w:hint="eastAsia" w:ascii="华文细黑" w:hAnsi="华文细黑" w:eastAsia="华文细黑" w:cs="华文细黑"/>
                      <w:bCs/>
                      <w:sz w:val="21"/>
                      <w:szCs w:val="21"/>
                      <w:lang w:eastAsia="zh-CN"/>
                    </w:rPr>
                  </w:pPr>
                  <w:r>
                    <w:rPr>
                      <w:rFonts w:hint="eastAsia" w:ascii="华文细黑" w:hAnsi="华文细黑" w:eastAsia="华文细黑" w:cs="华文细黑"/>
                      <w:bCs/>
                      <w:sz w:val="21"/>
                      <w:szCs w:val="21"/>
                      <w:lang w:eastAsia="zh-CN"/>
                    </w:rPr>
                    <w:t>发生部位</w:t>
                  </w:r>
                </w:p>
              </w:tc>
              <w:tc>
                <w:tcPr>
                  <w:tcW w:w="2341" w:type="dxa"/>
                  <w:noWrap w:val="0"/>
                  <w:vAlign w:val="center"/>
                </w:tcPr>
                <w:p>
                  <w:pPr>
                    <w:spacing w:before="109" w:beforeLines="35" w:after="109" w:afterLines="35" w:line="0" w:lineRule="atLeast"/>
                    <w:jc w:val="center"/>
                    <w:rPr>
                      <w:rFonts w:hint="eastAsia" w:ascii="华文细黑" w:hAnsi="华文细黑" w:eastAsia="华文细黑" w:cs="华文细黑"/>
                      <w:bCs/>
                      <w:sz w:val="21"/>
                      <w:szCs w:val="21"/>
                    </w:rPr>
                  </w:pPr>
                  <w:r>
                    <w:rPr>
                      <w:rFonts w:hint="eastAsia" w:ascii="华文细黑" w:hAnsi="华文细黑" w:eastAsia="华文细黑" w:cs="华文细黑"/>
                      <w:sz w:val="21"/>
                      <w:szCs w:val="21"/>
                      <w:lang w:eastAsia="zh-CN"/>
                    </w:rPr>
                    <w:t>环境影响</w:t>
                  </w:r>
                  <w:r>
                    <w:rPr>
                      <w:rFonts w:hint="eastAsia" w:ascii="华文细黑" w:hAnsi="华文细黑" w:eastAsia="华文细黑" w:cs="华文细黑"/>
                      <w:sz w:val="21"/>
                      <w:szCs w:val="21"/>
                    </w:rPr>
                    <w:t>/性质</w:t>
                  </w:r>
                </w:p>
              </w:tc>
              <w:tc>
                <w:tcPr>
                  <w:tcW w:w="1263" w:type="dxa"/>
                  <w:noWrap w:val="0"/>
                  <w:vAlign w:val="center"/>
                </w:tcPr>
                <w:p>
                  <w:pPr>
                    <w:spacing w:before="109" w:beforeLines="35" w:after="109" w:afterLines="35" w:line="0" w:lineRule="atLeast"/>
                    <w:jc w:val="both"/>
                    <w:rPr>
                      <w:rFonts w:hint="eastAsia" w:ascii="华文细黑" w:hAnsi="华文细黑" w:eastAsia="华文细黑" w:cs="华文细黑"/>
                      <w:bCs/>
                      <w:sz w:val="21"/>
                      <w:szCs w:val="21"/>
                    </w:rPr>
                  </w:pPr>
                  <w:r>
                    <w:rPr>
                      <w:rFonts w:hint="eastAsia" w:ascii="华文细黑" w:hAnsi="华文细黑" w:eastAsia="华文细黑" w:cs="华文细黑"/>
                      <w:sz w:val="21"/>
                      <w:szCs w:val="21"/>
                    </w:rPr>
                    <w:t>时态/状态</w:t>
                  </w:r>
                </w:p>
              </w:tc>
              <w:tc>
                <w:tcPr>
                  <w:tcW w:w="1346" w:type="dxa"/>
                  <w:noWrap w:val="0"/>
                  <w:vAlign w:val="center"/>
                </w:tcPr>
                <w:p>
                  <w:pPr>
                    <w:spacing w:before="109" w:beforeLines="35" w:after="109" w:afterLines="35" w:line="0" w:lineRule="atLeast"/>
                    <w:jc w:val="center"/>
                    <w:rPr>
                      <w:rFonts w:hint="eastAsia" w:ascii="华文细黑" w:hAnsi="华文细黑" w:eastAsia="华文细黑" w:cs="华文细黑"/>
                      <w:bCs/>
                      <w:sz w:val="21"/>
                      <w:szCs w:val="21"/>
                    </w:rPr>
                  </w:pPr>
                  <w:r>
                    <w:rPr>
                      <w:rFonts w:hint="eastAsia" w:ascii="华文细黑" w:hAnsi="华文细黑" w:eastAsia="华文细黑" w:cs="华文细黑"/>
                      <w:sz w:val="21"/>
                      <w:szCs w:val="21"/>
                    </w:rPr>
                    <w:t>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93" w:type="dxa"/>
                  <w:noWrap w:val="0"/>
                  <w:vAlign w:val="center"/>
                </w:tcPr>
                <w:p>
                  <w:pPr>
                    <w:spacing w:before="109" w:beforeLines="35" w:after="109" w:afterLines="35" w:line="0" w:lineRule="atLeas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1</w:t>
                  </w:r>
                </w:p>
              </w:tc>
              <w:tc>
                <w:tcPr>
                  <w:tcW w:w="1978" w:type="dxa"/>
                  <w:noWrap w:val="0"/>
                  <w:vAlign w:val="center"/>
                </w:tcPr>
                <w:p>
                  <w:pPr>
                    <w:spacing w:before="109" w:beforeLines="35" w:after="109" w:afterLines="35" w:line="0" w:lineRule="atLeas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固</w:t>
                  </w:r>
                  <w:r>
                    <w:rPr>
                      <w:rFonts w:hint="eastAsia" w:ascii="华文细黑" w:hAnsi="华文细黑" w:eastAsia="华文细黑" w:cs="华文细黑"/>
                      <w:sz w:val="21"/>
                      <w:szCs w:val="21"/>
                      <w:lang w:eastAsia="zh-CN"/>
                    </w:rPr>
                    <w:t>废（墨盒、硒鼓、灯管）排放</w:t>
                  </w:r>
                </w:p>
              </w:tc>
              <w:tc>
                <w:tcPr>
                  <w:tcW w:w="2156" w:type="dxa"/>
                  <w:noWrap w:val="0"/>
                  <w:vAlign w:val="center"/>
                </w:tcPr>
                <w:p>
                  <w:pPr>
                    <w:spacing w:before="109" w:beforeLines="35" w:after="109" w:afterLines="35" w:line="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办公</w:t>
                  </w:r>
                </w:p>
              </w:tc>
              <w:tc>
                <w:tcPr>
                  <w:tcW w:w="2341" w:type="dxa"/>
                  <w:noWrap w:val="0"/>
                  <w:vAlign w:val="center"/>
                </w:tcPr>
                <w:p>
                  <w:pPr>
                    <w:spacing w:before="109" w:beforeLines="35" w:after="109" w:afterLines="35" w:line="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土壤污染等/固废排放</w:t>
                  </w:r>
                </w:p>
              </w:tc>
              <w:tc>
                <w:tcPr>
                  <w:tcW w:w="1263" w:type="dxa"/>
                  <w:noWrap w:val="0"/>
                  <w:vAlign w:val="center"/>
                </w:tcPr>
                <w:p>
                  <w:pPr>
                    <w:spacing w:before="109" w:beforeLines="35" w:after="109" w:afterLines="35" w:line="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现在/正常</w:t>
                  </w:r>
                </w:p>
              </w:tc>
              <w:tc>
                <w:tcPr>
                  <w:tcW w:w="1346" w:type="dxa"/>
                  <w:noWrap w:val="0"/>
                  <w:vAlign w:val="center"/>
                </w:tcPr>
                <w:p>
                  <w:pPr>
                    <w:spacing w:before="109" w:beforeLines="35" w:after="109" w:afterLines="35" w:line="0" w:lineRule="atLeast"/>
                    <w:rPr>
                      <w:rFonts w:hint="eastAsia" w:ascii="华文细黑" w:hAnsi="华文细黑" w:eastAsia="华文细黑" w:cs="华文细黑"/>
                      <w:sz w:val="21"/>
                      <w:szCs w:val="21"/>
                      <w:lang w:eastAsia="zh-CN"/>
                    </w:rPr>
                  </w:pPr>
                  <w:r>
                    <w:rPr>
                      <w:rFonts w:hint="eastAsia" w:ascii="华文细黑" w:hAnsi="华文细黑" w:eastAsia="华文细黑" w:cs="华文细黑"/>
                      <w:sz w:val="21"/>
                      <w:szCs w:val="21"/>
                    </w:rPr>
                    <w:t>按管理</w:t>
                  </w:r>
                  <w:r>
                    <w:rPr>
                      <w:rFonts w:hint="eastAsia" w:ascii="华文细黑" w:hAnsi="华文细黑" w:eastAsia="华文细黑" w:cs="华文细黑"/>
                      <w:sz w:val="21"/>
                      <w:szCs w:val="21"/>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93" w:type="dxa"/>
                  <w:noWrap w:val="0"/>
                  <w:vAlign w:val="center"/>
                </w:tcPr>
                <w:p>
                  <w:pPr>
                    <w:spacing w:before="109" w:beforeLines="35" w:after="109" w:afterLines="35" w:line="0" w:lineRule="atLeas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2</w:t>
                  </w:r>
                </w:p>
              </w:tc>
              <w:tc>
                <w:tcPr>
                  <w:tcW w:w="1978" w:type="dxa"/>
                  <w:noWrap w:val="0"/>
                  <w:vAlign w:val="center"/>
                </w:tcPr>
                <w:p>
                  <w:pPr>
                    <w:spacing w:before="109" w:beforeLines="35" w:after="109" w:afterLines="35" w:line="0" w:lineRule="atLeast"/>
                    <w:rPr>
                      <w:rFonts w:hint="eastAsia" w:ascii="华文细黑" w:hAnsi="华文细黑" w:eastAsia="华文细黑" w:cs="华文细黑"/>
                      <w:sz w:val="21"/>
                      <w:szCs w:val="21"/>
                      <w:lang w:eastAsia="zh-CN"/>
                    </w:rPr>
                  </w:pPr>
                  <w:r>
                    <w:rPr>
                      <w:rFonts w:hint="eastAsia" w:ascii="华文细黑" w:hAnsi="华文细黑" w:eastAsia="华文细黑" w:cs="华文细黑"/>
                      <w:sz w:val="21"/>
                      <w:szCs w:val="21"/>
                      <w:lang w:eastAsia="zh-CN"/>
                    </w:rPr>
                    <w:t>火灾发生</w:t>
                  </w:r>
                </w:p>
              </w:tc>
              <w:tc>
                <w:tcPr>
                  <w:tcW w:w="2156" w:type="dxa"/>
                  <w:noWrap w:val="0"/>
                  <w:vAlign w:val="center"/>
                </w:tcPr>
                <w:p>
                  <w:pPr>
                    <w:spacing w:before="109" w:beforeLines="35" w:after="109" w:afterLines="35" w:line="0" w:lineRule="atLeas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办公场所</w:t>
                  </w:r>
                </w:p>
              </w:tc>
              <w:tc>
                <w:tcPr>
                  <w:tcW w:w="2341" w:type="dxa"/>
                  <w:noWrap w:val="0"/>
                  <w:vAlign w:val="center"/>
                </w:tcPr>
                <w:p>
                  <w:pPr>
                    <w:spacing w:before="109" w:beforeLines="35" w:after="109" w:afterLines="35" w:line="0" w:lineRule="atLeas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大气污染/</w:t>
                  </w:r>
                  <w:r>
                    <w:rPr>
                      <w:rFonts w:hint="eastAsia" w:ascii="华文细黑" w:hAnsi="华文细黑" w:eastAsia="华文细黑" w:cs="华文细黑"/>
                      <w:sz w:val="21"/>
                      <w:szCs w:val="21"/>
                    </w:rPr>
                    <w:t>臭氧层破坏</w:t>
                  </w:r>
                </w:p>
              </w:tc>
              <w:tc>
                <w:tcPr>
                  <w:tcW w:w="1263" w:type="dxa"/>
                  <w:noWrap w:val="0"/>
                  <w:vAlign w:val="center"/>
                </w:tcPr>
                <w:p>
                  <w:pPr>
                    <w:spacing w:before="109" w:beforeLines="35" w:after="109" w:afterLines="35" w:line="0" w:lineRule="atLeas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将来/异常</w:t>
                  </w:r>
                </w:p>
              </w:tc>
              <w:tc>
                <w:tcPr>
                  <w:tcW w:w="1346" w:type="dxa"/>
                  <w:noWrap w:val="0"/>
                  <w:vAlign w:val="center"/>
                </w:tcPr>
                <w:p>
                  <w:pPr>
                    <w:spacing w:before="109" w:beforeLines="35" w:after="109" w:afterLines="35" w:line="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按管理</w:t>
                  </w:r>
                  <w:r>
                    <w:rPr>
                      <w:rFonts w:hint="eastAsia" w:ascii="华文细黑" w:hAnsi="华文细黑" w:eastAsia="华文细黑" w:cs="华文细黑"/>
                      <w:sz w:val="21"/>
                      <w:szCs w:val="21"/>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93" w:type="dxa"/>
                  <w:noWrap w:val="0"/>
                  <w:vAlign w:val="center"/>
                </w:tcPr>
                <w:p>
                  <w:pPr>
                    <w:spacing w:before="109" w:beforeLines="35" w:after="109" w:afterLines="35" w:line="0" w:lineRule="atLeas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3</w:t>
                  </w:r>
                </w:p>
              </w:tc>
              <w:tc>
                <w:tcPr>
                  <w:tcW w:w="1978" w:type="dxa"/>
                  <w:noWrap w:val="0"/>
                  <w:vAlign w:val="center"/>
                </w:tcPr>
                <w:p>
                  <w:pPr>
                    <w:spacing w:before="109" w:beforeLines="35" w:after="109" w:afterLines="35" w:line="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能源、资源的消耗</w:t>
                  </w:r>
                </w:p>
              </w:tc>
              <w:tc>
                <w:tcPr>
                  <w:tcW w:w="2156" w:type="dxa"/>
                  <w:noWrap w:val="0"/>
                  <w:vAlign w:val="center"/>
                </w:tcPr>
                <w:p>
                  <w:pPr>
                    <w:spacing w:before="109" w:beforeLines="35" w:after="109" w:afterLines="35" w:line="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lang w:eastAsia="zh-CN"/>
                    </w:rPr>
                    <w:t>办公</w:t>
                  </w:r>
                  <w:r>
                    <w:rPr>
                      <w:rFonts w:hint="eastAsia" w:ascii="华文细黑" w:hAnsi="华文细黑" w:eastAsia="华文细黑" w:cs="华文细黑"/>
                      <w:sz w:val="21"/>
                      <w:szCs w:val="21"/>
                    </w:rPr>
                    <w:t>现场、后勤生活</w:t>
                  </w:r>
                  <w:r>
                    <w:rPr>
                      <w:rFonts w:hint="eastAsia" w:ascii="华文细黑" w:hAnsi="华文细黑" w:eastAsia="华文细黑" w:cs="华文细黑"/>
                      <w:sz w:val="21"/>
                      <w:szCs w:val="21"/>
                      <w:lang w:val="en-US" w:eastAsia="zh-CN"/>
                    </w:rPr>
                    <w:t xml:space="preserve">   </w:t>
                  </w:r>
                </w:p>
              </w:tc>
              <w:tc>
                <w:tcPr>
                  <w:tcW w:w="2341" w:type="dxa"/>
                  <w:noWrap w:val="0"/>
                  <w:vAlign w:val="center"/>
                </w:tcPr>
                <w:p>
                  <w:pPr>
                    <w:spacing w:before="109" w:beforeLines="35" w:after="109" w:afterLines="35" w:line="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水、电资源</w:t>
                  </w:r>
                  <w:r>
                    <w:rPr>
                      <w:rFonts w:hint="eastAsia" w:ascii="华文细黑" w:hAnsi="华文细黑" w:eastAsia="华文细黑" w:cs="华文细黑"/>
                      <w:sz w:val="21"/>
                      <w:szCs w:val="21"/>
                      <w:lang w:val="en-US" w:eastAsia="zh-CN"/>
                    </w:rPr>
                    <w:t>消耗</w:t>
                  </w:r>
                </w:p>
              </w:tc>
              <w:tc>
                <w:tcPr>
                  <w:tcW w:w="1263" w:type="dxa"/>
                  <w:noWrap w:val="0"/>
                  <w:vAlign w:val="center"/>
                </w:tcPr>
                <w:p>
                  <w:pPr>
                    <w:spacing w:before="109" w:beforeLines="35" w:after="109" w:afterLines="35" w:line="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现在/正常</w:t>
                  </w:r>
                </w:p>
              </w:tc>
              <w:tc>
                <w:tcPr>
                  <w:tcW w:w="1346" w:type="dxa"/>
                  <w:noWrap w:val="0"/>
                  <w:vAlign w:val="center"/>
                </w:tcPr>
                <w:p>
                  <w:pPr>
                    <w:spacing w:before="109" w:beforeLines="35" w:after="109" w:afterLines="35" w:line="0" w:lineRule="atLeas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按管理制度</w:t>
                  </w:r>
                </w:p>
              </w:tc>
            </w:tr>
          </w:tbl>
          <w:p>
            <w:pPr>
              <w:spacing w:line="280" w:lineRule="exact"/>
              <w:ind w:firstLine="420" w:firstLineChars="200"/>
              <w:jc w:val="left"/>
              <w:rPr>
                <w:rFonts w:hint="eastAsia" w:ascii="Times New Roman" w:hAnsi="Times New Roman"/>
                <w:color w:val="auto"/>
                <w:szCs w:val="21"/>
              </w:rPr>
            </w:pPr>
            <w:r>
              <w:rPr>
                <w:rFonts w:hint="eastAsia" w:ascii="Times New Roman" w:hAnsi="Times New Roman"/>
                <w:color w:val="auto"/>
                <w:szCs w:val="21"/>
                <w:lang w:val="en-US" w:eastAsia="zh-CN"/>
              </w:rPr>
              <w:t>识别的重要环境因素内容基本无变化，监视和评审日期：</w:t>
            </w:r>
            <w:r>
              <w:rPr>
                <w:rFonts w:hint="eastAsia" w:ascii="Times New Roman" w:hAnsi="Times New Roman"/>
                <w:color w:val="auto"/>
                <w:szCs w:val="21"/>
              </w:rPr>
              <w:t>202</w:t>
            </w:r>
            <w:r>
              <w:rPr>
                <w:rFonts w:hint="eastAsia" w:ascii="Times New Roman" w:hAnsi="Times New Roman"/>
                <w:color w:val="auto"/>
                <w:szCs w:val="21"/>
                <w:lang w:val="en-US" w:eastAsia="zh-CN"/>
              </w:rPr>
              <w:t>2</w:t>
            </w:r>
            <w:r>
              <w:rPr>
                <w:rFonts w:hint="eastAsia" w:ascii="Times New Roman" w:hAnsi="Times New Roman"/>
                <w:color w:val="auto"/>
                <w:szCs w:val="21"/>
              </w:rPr>
              <w:t>.</w:t>
            </w:r>
            <w:r>
              <w:rPr>
                <w:rFonts w:hint="eastAsia"/>
                <w:color w:val="auto"/>
                <w:szCs w:val="21"/>
                <w:lang w:val="en-US" w:eastAsia="zh-CN"/>
              </w:rPr>
              <w:t>1</w:t>
            </w:r>
            <w:r>
              <w:rPr>
                <w:rFonts w:hint="eastAsia" w:ascii="Times New Roman" w:hAnsi="Times New Roman"/>
                <w:color w:val="auto"/>
                <w:szCs w:val="21"/>
              </w:rPr>
              <w:t>.</w:t>
            </w:r>
            <w:r>
              <w:rPr>
                <w:rFonts w:hint="eastAsia"/>
                <w:color w:val="auto"/>
                <w:szCs w:val="21"/>
                <w:lang w:val="en-US" w:eastAsia="zh-CN"/>
              </w:rPr>
              <w:t>12</w:t>
            </w:r>
            <w:r>
              <w:rPr>
                <w:rFonts w:hint="eastAsia" w:ascii="Times New Roman" w:hAnsi="Times New Roman"/>
                <w:color w:val="auto"/>
                <w:szCs w:val="21"/>
                <w:lang w:val="en-US" w:eastAsia="zh-CN"/>
              </w:rPr>
              <w:t>。</w:t>
            </w:r>
          </w:p>
          <w:p>
            <w:pPr>
              <w:spacing w:line="280" w:lineRule="exact"/>
              <w:ind w:firstLine="420" w:firstLineChars="200"/>
              <w:jc w:val="left"/>
              <w:rPr>
                <w:rFonts w:hint="eastAsia" w:ascii="Times New Roman" w:hAnsi="Times New Roman"/>
                <w:color w:val="auto"/>
                <w:szCs w:val="21"/>
              </w:rPr>
            </w:pPr>
            <w:r>
              <w:rPr>
                <w:rFonts w:hint="eastAsia" w:ascii="Times New Roman" w:hAnsi="Times New Roman"/>
                <w:color w:val="auto"/>
                <w:szCs w:val="21"/>
                <w:lang w:val="en-US" w:eastAsia="zh-CN"/>
              </w:rPr>
              <w:t>组织制定了</w:t>
            </w:r>
            <w:r>
              <w:rPr>
                <w:rFonts w:hint="eastAsia" w:ascii="Times New Roman" w:hAnsi="Times New Roman"/>
                <w:color w:val="auto"/>
                <w:szCs w:val="21"/>
              </w:rPr>
              <w:t>《危险源辨识、风险评价控制程序》</w:t>
            </w:r>
            <w:r>
              <w:rPr>
                <w:rFonts w:hint="eastAsia" w:ascii="Times New Roman" w:hAnsi="Times New Roman"/>
                <w:color w:val="auto"/>
                <w:szCs w:val="21"/>
                <w:lang w:val="en-US" w:eastAsia="zh-CN"/>
              </w:rPr>
              <w:t>以</w:t>
            </w:r>
            <w:r>
              <w:rPr>
                <w:rFonts w:hint="eastAsia" w:ascii="Times New Roman" w:hAnsi="Times New Roman"/>
                <w:color w:val="auto"/>
                <w:szCs w:val="21"/>
              </w:rPr>
              <w:t>确保在所有管理活动或服务过程中能最大限度、充分地进行危险源辨识与风险性评价，确定不可接受风险并及时更新，实现对危险源与不可接受风险的有效控制。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jc w:val="left"/>
              <w:rPr>
                <w:rFonts w:hint="eastAsia" w:ascii="Times New Roman" w:hAnsi="Times New Roman"/>
                <w:color w:val="auto"/>
                <w:szCs w:val="21"/>
                <w:lang w:eastAsia="zh-CN"/>
              </w:rPr>
            </w:pPr>
            <w:r>
              <w:rPr>
                <w:rFonts w:hint="eastAsia" w:ascii="Times New Roman" w:hAnsi="Times New Roman"/>
                <w:color w:val="auto"/>
                <w:szCs w:val="21"/>
              </w:rPr>
              <w:t>提供了《危险源辨识、风险评价、控制策划一览表》</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识别的危险源包括</w:t>
            </w:r>
            <w:r>
              <w:rPr>
                <w:rFonts w:hint="eastAsia" w:ascii="Times New Roman" w:hAnsi="Times New Roman"/>
                <w:color w:val="auto"/>
                <w:szCs w:val="21"/>
              </w:rPr>
              <w:t>在办公</w:t>
            </w:r>
            <w:r>
              <w:rPr>
                <w:rFonts w:hint="eastAsia" w:ascii="Times New Roman" w:hAnsi="Times New Roman"/>
                <w:color w:val="auto"/>
                <w:szCs w:val="21"/>
                <w:lang w:val="en-US" w:eastAsia="zh-CN"/>
              </w:rPr>
              <w:t>和</w:t>
            </w:r>
            <w:r>
              <w:rPr>
                <w:rFonts w:hint="eastAsia"/>
                <w:color w:val="auto"/>
                <w:szCs w:val="21"/>
                <w:lang w:val="en-US" w:eastAsia="zh-CN"/>
              </w:rPr>
              <w:t>安保</w:t>
            </w:r>
            <w:r>
              <w:rPr>
                <w:rFonts w:hint="eastAsia" w:ascii="Times New Roman" w:hAnsi="Times New Roman"/>
                <w:color w:val="auto"/>
                <w:szCs w:val="21"/>
                <w:lang w:val="en-US" w:eastAsia="zh-CN"/>
              </w:rPr>
              <w:t>服务</w:t>
            </w:r>
            <w:r>
              <w:rPr>
                <w:rFonts w:hint="eastAsia" w:ascii="Times New Roman" w:hAnsi="Times New Roman"/>
                <w:color w:val="auto"/>
                <w:szCs w:val="21"/>
              </w:rPr>
              <w:t>活动中</w:t>
            </w:r>
            <w:r>
              <w:rPr>
                <w:rFonts w:hint="eastAsia" w:ascii="Times New Roman" w:hAnsi="Times New Roman"/>
                <w:color w:val="auto"/>
                <w:szCs w:val="21"/>
                <w:lang w:val="en-US" w:eastAsia="zh-CN"/>
              </w:rPr>
              <w:t>发生的</w:t>
            </w:r>
            <w:r>
              <w:rPr>
                <w:rFonts w:hint="eastAsia"/>
                <w:color w:val="auto"/>
                <w:szCs w:val="21"/>
                <w:lang w:val="en-US" w:eastAsia="zh-CN"/>
              </w:rPr>
              <w:t>火灾和意外伤亡</w:t>
            </w:r>
            <w:r>
              <w:rPr>
                <w:rFonts w:hint="eastAsia" w:ascii="Times New Roman" w:hAnsi="Times New Roman"/>
                <w:color w:val="auto"/>
                <w:szCs w:val="21"/>
                <w:lang w:val="en-US" w:eastAsia="zh-CN"/>
              </w:rPr>
              <w:t>等</w:t>
            </w:r>
            <w:r>
              <w:rPr>
                <w:rFonts w:hint="eastAsia" w:ascii="Times New Roman" w:hAnsi="Times New Roman"/>
                <w:color w:val="auto"/>
                <w:szCs w:val="21"/>
              </w:rPr>
              <w:t>，以确定控制措施</w:t>
            </w:r>
            <w:r>
              <w:rPr>
                <w:rFonts w:hint="eastAsia"/>
                <w:color w:val="auto"/>
                <w:szCs w:val="21"/>
                <w:lang w:eastAsia="zh-CN"/>
              </w:rPr>
              <w:t>，</w:t>
            </w:r>
            <w:r>
              <w:rPr>
                <w:rFonts w:hint="eastAsia"/>
                <w:color w:val="auto"/>
                <w:szCs w:val="21"/>
                <w:lang w:val="en-US" w:eastAsia="zh-CN"/>
              </w:rPr>
              <w:t>识别基本充分</w:t>
            </w:r>
            <w:r>
              <w:rPr>
                <w:rFonts w:hint="eastAsia" w:ascii="Times New Roman" w:hAnsi="Times New Roman"/>
                <w:color w:val="auto"/>
                <w:szCs w:val="21"/>
                <w:lang w:eastAsia="zh-CN"/>
              </w:rPr>
              <w:t>。</w:t>
            </w:r>
          </w:p>
          <w:p>
            <w:pPr>
              <w:spacing w:line="280" w:lineRule="exact"/>
              <w:ind w:firstLine="420" w:firstLineChars="200"/>
              <w:jc w:val="left"/>
              <w:rPr>
                <w:rFonts w:hint="eastAsia" w:ascii="Times New Roman" w:hAnsi="Times New Roman"/>
                <w:color w:val="auto"/>
                <w:szCs w:val="21"/>
                <w:lang w:eastAsia="zh-CN"/>
              </w:rPr>
            </w:pPr>
            <w:r>
              <w:rPr>
                <w:rFonts w:hint="eastAsia" w:ascii="Times New Roman" w:hAnsi="Times New Roman"/>
                <w:color w:val="auto"/>
                <w:szCs w:val="21"/>
              </w:rPr>
              <w:t>提供了《不可接受职业健康安全风险清单》</w:t>
            </w:r>
            <w:r>
              <w:rPr>
                <w:rFonts w:hint="eastAsia" w:ascii="Times New Roman" w:hAnsi="Times New Roman"/>
                <w:color w:val="auto"/>
                <w:szCs w:val="21"/>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382"/>
              <w:gridCol w:w="1889"/>
              <w:gridCol w:w="1093"/>
              <w:gridCol w:w="1251"/>
              <w:gridCol w:w="3129"/>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388" w:type="dxa"/>
                  <w:gridSpan w:val="2"/>
                  <w:noWrap w:val="0"/>
                  <w:vAlign w:val="center"/>
                </w:tcPr>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 xml:space="preserve">          序号</w:t>
                  </w:r>
                </w:p>
              </w:tc>
              <w:tc>
                <w:tcPr>
                  <w:tcW w:w="1889" w:type="dxa"/>
                  <w:noWrap w:val="0"/>
                  <w:vAlign w:val="center"/>
                </w:tcPr>
                <w:p>
                  <w:pPr>
                    <w:jc w:val="both"/>
                    <w:rPr>
                      <w:rFonts w:hint="eastAsia" w:ascii="华文细黑" w:hAnsi="华文细黑" w:eastAsia="华文细黑" w:cs="华文细黑"/>
                      <w:color w:val="auto"/>
                      <w:spacing w:val="5"/>
                      <w:kern w:val="0"/>
                      <w:sz w:val="21"/>
                      <w:szCs w:val="21"/>
                    </w:rPr>
                  </w:pPr>
                  <w:r>
                    <w:rPr>
                      <w:rFonts w:hint="eastAsia" w:ascii="华文细黑" w:hAnsi="华文细黑" w:eastAsia="华文细黑" w:cs="华文细黑"/>
                      <w:color w:val="auto"/>
                      <w:spacing w:val="5"/>
                      <w:kern w:val="0"/>
                      <w:sz w:val="21"/>
                      <w:szCs w:val="21"/>
                    </w:rPr>
                    <w:t>来源</w:t>
                  </w:r>
                </w:p>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pacing w:val="5"/>
                      <w:kern w:val="0"/>
                      <w:sz w:val="21"/>
                      <w:szCs w:val="21"/>
                    </w:rPr>
                    <w:t>(活动)</w:t>
                  </w:r>
                </w:p>
              </w:tc>
              <w:tc>
                <w:tcPr>
                  <w:tcW w:w="1093" w:type="dxa"/>
                  <w:noWrap w:val="0"/>
                  <w:vAlign w:val="center"/>
                </w:tcPr>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不可接受风险</w:t>
                  </w:r>
                </w:p>
              </w:tc>
              <w:tc>
                <w:tcPr>
                  <w:tcW w:w="1251" w:type="dxa"/>
                  <w:noWrap w:val="0"/>
                  <w:vAlign w:val="center"/>
                </w:tcPr>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危险</w:t>
                  </w:r>
                </w:p>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类型</w:t>
                  </w:r>
                </w:p>
              </w:tc>
              <w:tc>
                <w:tcPr>
                  <w:tcW w:w="3129" w:type="dxa"/>
                  <w:noWrap w:val="0"/>
                  <w:vAlign w:val="center"/>
                </w:tcPr>
                <w:p>
                  <w:pPr>
                    <w:jc w:val="both"/>
                    <w:rPr>
                      <w:rFonts w:hint="eastAsia" w:ascii="华文细黑" w:hAnsi="华文细黑" w:eastAsia="华文细黑" w:cs="华文细黑"/>
                      <w:color w:val="auto"/>
                      <w:sz w:val="21"/>
                      <w:szCs w:val="21"/>
                    </w:rPr>
                  </w:pPr>
                </w:p>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控制措施</w:t>
                  </w:r>
                </w:p>
                <w:p>
                  <w:pPr>
                    <w:jc w:val="both"/>
                    <w:rPr>
                      <w:rFonts w:hint="eastAsia" w:ascii="华文细黑" w:hAnsi="华文细黑" w:eastAsia="华文细黑" w:cs="华文细黑"/>
                      <w:color w:val="auto"/>
                      <w:sz w:val="21"/>
                      <w:szCs w:val="21"/>
                    </w:rPr>
                  </w:pPr>
                </w:p>
              </w:tc>
              <w:tc>
                <w:tcPr>
                  <w:tcW w:w="1413" w:type="dxa"/>
                  <w:noWrap w:val="0"/>
                  <w:vAlign w:val="center"/>
                </w:tcPr>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953" w:hRule="atLeast"/>
                <w:jc w:val="center"/>
              </w:trPr>
              <w:tc>
                <w:tcPr>
                  <w:tcW w:w="382" w:type="dxa"/>
                  <w:tcBorders>
                    <w:top w:val="single" w:color="auto" w:sz="4" w:space="0"/>
                    <w:bottom w:val="single" w:color="auto" w:sz="4" w:space="0"/>
                  </w:tcBorders>
                  <w:noWrap w:val="0"/>
                  <w:vAlign w:val="center"/>
                </w:tcPr>
                <w:p>
                  <w:pPr>
                    <w:jc w:val="both"/>
                    <w:rPr>
                      <w:rFonts w:hint="eastAsia" w:ascii="华文细黑" w:hAnsi="华文细黑" w:eastAsia="华文细黑" w:cs="华文细黑"/>
                      <w:color w:val="auto"/>
                      <w:sz w:val="21"/>
                      <w:szCs w:val="21"/>
                      <w:lang w:eastAsia="zh-CN"/>
                    </w:rPr>
                  </w:pPr>
                  <w:r>
                    <w:rPr>
                      <w:rFonts w:hint="eastAsia" w:ascii="华文细黑" w:hAnsi="华文细黑" w:eastAsia="华文细黑" w:cs="华文细黑"/>
                      <w:color w:val="auto"/>
                      <w:sz w:val="21"/>
                      <w:szCs w:val="21"/>
                      <w:lang w:val="en-US" w:eastAsia="zh-CN"/>
                    </w:rPr>
                    <w:t>1</w:t>
                  </w:r>
                </w:p>
              </w:tc>
              <w:tc>
                <w:tcPr>
                  <w:tcW w:w="1889" w:type="dxa"/>
                  <w:tcBorders>
                    <w:top w:val="single" w:color="auto" w:sz="4" w:space="0"/>
                    <w:bottom w:val="single" w:color="auto" w:sz="4" w:space="0"/>
                  </w:tcBorders>
                  <w:noWrap w:val="0"/>
                  <w:vAlign w:val="center"/>
                </w:tcPr>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抽烟、焚烧、电线短路等火源</w:t>
                  </w:r>
                </w:p>
              </w:tc>
              <w:tc>
                <w:tcPr>
                  <w:tcW w:w="1093" w:type="dxa"/>
                  <w:noWrap w:val="0"/>
                  <w:vAlign w:val="center"/>
                </w:tcPr>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火灾</w:t>
                  </w:r>
                </w:p>
              </w:tc>
              <w:tc>
                <w:tcPr>
                  <w:tcW w:w="1251" w:type="dxa"/>
                  <w:noWrap w:val="0"/>
                  <w:vAlign w:val="center"/>
                </w:tcPr>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人身伤害</w:t>
                  </w:r>
                </w:p>
              </w:tc>
              <w:tc>
                <w:tcPr>
                  <w:tcW w:w="3129" w:type="dxa"/>
                  <w:noWrap w:val="0"/>
                  <w:vAlign w:val="center"/>
                </w:tcPr>
                <w:p>
                  <w:pPr>
                    <w:spacing w:line="360" w:lineRule="auto"/>
                    <w:jc w:val="both"/>
                    <w:rPr>
                      <w:rFonts w:hint="eastAsia" w:ascii="华文细黑" w:hAnsi="华文细黑" w:eastAsia="华文细黑" w:cs="华文细黑"/>
                      <w:color w:val="auto"/>
                      <w:spacing w:val="3"/>
                      <w:kern w:val="0"/>
                      <w:sz w:val="21"/>
                      <w:szCs w:val="21"/>
                    </w:rPr>
                  </w:pPr>
                  <w:r>
                    <w:rPr>
                      <w:rFonts w:hint="eastAsia" w:ascii="华文细黑" w:hAnsi="华文细黑" w:eastAsia="华文细黑" w:cs="华文细黑"/>
                      <w:color w:val="auto"/>
                      <w:spacing w:val="3"/>
                      <w:kern w:val="0"/>
                      <w:sz w:val="21"/>
                      <w:szCs w:val="21"/>
                    </w:rPr>
                    <w:t>1加强消防巡检</w:t>
                  </w:r>
                </w:p>
                <w:p>
                  <w:pPr>
                    <w:spacing w:line="360" w:lineRule="auto"/>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pacing w:val="3"/>
                      <w:kern w:val="0"/>
                      <w:sz w:val="21"/>
                      <w:szCs w:val="21"/>
                    </w:rPr>
                    <w:t>2制定应对预案、演习、评审</w:t>
                  </w:r>
                </w:p>
              </w:tc>
              <w:tc>
                <w:tcPr>
                  <w:tcW w:w="1413" w:type="dxa"/>
                  <w:noWrap w:val="0"/>
                  <w:vAlign w:val="center"/>
                </w:tcPr>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预案+演练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649" w:hRule="atLeast"/>
                <w:jc w:val="center"/>
              </w:trPr>
              <w:tc>
                <w:tcPr>
                  <w:tcW w:w="382" w:type="dxa"/>
                  <w:tcBorders>
                    <w:top w:val="single" w:color="auto" w:sz="4" w:space="0"/>
                  </w:tcBorders>
                  <w:noWrap w:val="0"/>
                  <w:vAlign w:val="center"/>
                </w:tcPr>
                <w:p>
                  <w:pPr>
                    <w:jc w:val="both"/>
                    <w:rPr>
                      <w:rFonts w:hint="eastAsia" w:ascii="华文细黑" w:hAnsi="华文细黑" w:eastAsia="华文细黑" w:cs="华文细黑"/>
                      <w:color w:val="auto"/>
                      <w:sz w:val="21"/>
                      <w:szCs w:val="21"/>
                      <w:lang w:eastAsia="zh-CN"/>
                    </w:rPr>
                  </w:pPr>
                  <w:r>
                    <w:rPr>
                      <w:rFonts w:hint="eastAsia" w:ascii="华文细黑" w:hAnsi="华文细黑" w:eastAsia="华文细黑" w:cs="华文细黑"/>
                      <w:color w:val="auto"/>
                      <w:sz w:val="21"/>
                      <w:szCs w:val="21"/>
                      <w:lang w:val="en-US" w:eastAsia="zh-CN"/>
                    </w:rPr>
                    <w:t>2</w:t>
                  </w:r>
                </w:p>
              </w:tc>
              <w:tc>
                <w:tcPr>
                  <w:tcW w:w="1889" w:type="dxa"/>
                  <w:tcBorders>
                    <w:top w:val="single" w:color="auto" w:sz="4" w:space="0"/>
                  </w:tcBorders>
                  <w:noWrap w:val="0"/>
                  <w:vAlign w:val="center"/>
                </w:tcPr>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人为治安、盗窃</w:t>
                  </w:r>
                  <w:r>
                    <w:rPr>
                      <w:rFonts w:hint="eastAsia" w:ascii="华文细黑" w:hAnsi="华文细黑" w:eastAsia="华文细黑" w:cs="华文细黑"/>
                      <w:color w:val="auto"/>
                      <w:sz w:val="21"/>
                      <w:szCs w:val="21"/>
                      <w:lang w:eastAsia="zh-CN"/>
                    </w:rPr>
                    <w:t>、</w:t>
                  </w:r>
                  <w:r>
                    <w:rPr>
                      <w:rFonts w:hint="eastAsia" w:ascii="华文细黑" w:hAnsi="华文细黑" w:eastAsia="华文细黑" w:cs="华文细黑"/>
                      <w:color w:val="auto"/>
                      <w:sz w:val="21"/>
                      <w:szCs w:val="21"/>
                      <w:lang w:val="en-US" w:eastAsia="zh-CN"/>
                    </w:rPr>
                    <w:t>暴力伤害</w:t>
                  </w:r>
                </w:p>
              </w:tc>
              <w:tc>
                <w:tcPr>
                  <w:tcW w:w="1093" w:type="dxa"/>
                  <w:noWrap w:val="0"/>
                  <w:vAlign w:val="center"/>
                </w:tcPr>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伤害、伤亡</w:t>
                  </w:r>
                </w:p>
              </w:tc>
              <w:tc>
                <w:tcPr>
                  <w:tcW w:w="1251" w:type="dxa"/>
                  <w:noWrap w:val="0"/>
                  <w:vAlign w:val="center"/>
                </w:tcPr>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人身伤害</w:t>
                  </w:r>
                </w:p>
              </w:tc>
              <w:tc>
                <w:tcPr>
                  <w:tcW w:w="3129" w:type="dxa"/>
                  <w:noWrap w:val="0"/>
                  <w:vAlign w:val="center"/>
                </w:tcPr>
                <w:p>
                  <w:pPr>
                    <w:spacing w:line="360" w:lineRule="auto"/>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pacing w:val="3"/>
                      <w:kern w:val="0"/>
                      <w:sz w:val="21"/>
                      <w:szCs w:val="21"/>
                    </w:rPr>
                    <w:t>制定应对预案</w:t>
                  </w:r>
                </w:p>
              </w:tc>
              <w:tc>
                <w:tcPr>
                  <w:tcW w:w="1413" w:type="dxa"/>
                  <w:noWrap w:val="0"/>
                  <w:vAlign w:val="center"/>
                </w:tcPr>
                <w:p>
                  <w:pPr>
                    <w:jc w:val="both"/>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检查</w:t>
                  </w:r>
                </w:p>
              </w:tc>
            </w:tr>
          </w:tbl>
          <w:p>
            <w:pPr>
              <w:spacing w:line="280" w:lineRule="exact"/>
              <w:ind w:firstLine="420" w:firstLineChars="200"/>
              <w:rPr>
                <w:rFonts w:hint="eastAsia" w:eastAsia="华文细黑"/>
                <w:lang w:eastAsia="zh-CN"/>
              </w:rPr>
            </w:pPr>
            <w:r>
              <w:rPr>
                <w:rFonts w:hint="eastAsia" w:ascii="Times New Roman" w:hAnsi="Times New Roman"/>
                <w:color w:val="auto"/>
                <w:szCs w:val="21"/>
                <w:lang w:val="en-US" w:eastAsia="zh-CN"/>
              </w:rPr>
              <w:t>识别的</w:t>
            </w:r>
            <w:r>
              <w:rPr>
                <w:rFonts w:hint="eastAsia"/>
                <w:color w:val="auto"/>
                <w:szCs w:val="21"/>
                <w:lang w:val="en-US" w:eastAsia="zh-CN"/>
              </w:rPr>
              <w:t>危险源</w:t>
            </w:r>
            <w:r>
              <w:rPr>
                <w:rFonts w:hint="eastAsia" w:ascii="Times New Roman" w:hAnsi="Times New Roman"/>
                <w:color w:val="auto"/>
                <w:szCs w:val="21"/>
                <w:lang w:val="en-US" w:eastAsia="zh-CN"/>
              </w:rPr>
              <w:t>内容</w:t>
            </w:r>
            <w:bookmarkStart w:id="1" w:name="_GoBack"/>
            <w:bookmarkEnd w:id="1"/>
            <w:r>
              <w:rPr>
                <w:rFonts w:hint="eastAsia" w:ascii="Times New Roman" w:hAnsi="Times New Roman"/>
                <w:color w:val="auto"/>
                <w:szCs w:val="21"/>
                <w:lang w:val="en-US" w:eastAsia="zh-CN"/>
              </w:rPr>
              <w:t>无变化，监视和评审日期：</w:t>
            </w:r>
            <w:r>
              <w:rPr>
                <w:rFonts w:hint="eastAsia" w:ascii="Times New Roman" w:hAnsi="Times New Roman"/>
                <w:color w:val="auto"/>
                <w:szCs w:val="21"/>
              </w:rPr>
              <w:t>202</w:t>
            </w:r>
            <w:r>
              <w:rPr>
                <w:rFonts w:hint="eastAsia" w:ascii="Times New Roman" w:hAnsi="Times New Roman"/>
                <w:color w:val="auto"/>
                <w:szCs w:val="21"/>
                <w:lang w:val="en-US" w:eastAsia="zh-CN"/>
              </w:rPr>
              <w:t>2</w:t>
            </w:r>
            <w:r>
              <w:rPr>
                <w:rFonts w:hint="eastAsia" w:ascii="Times New Roman" w:hAnsi="Times New Roman"/>
                <w:color w:val="auto"/>
                <w:szCs w:val="21"/>
              </w:rPr>
              <w:t>.</w:t>
            </w:r>
            <w:r>
              <w:rPr>
                <w:rFonts w:hint="eastAsia"/>
                <w:color w:val="auto"/>
                <w:szCs w:val="21"/>
                <w:lang w:val="en-US" w:eastAsia="zh-CN"/>
              </w:rPr>
              <w:t>1</w:t>
            </w:r>
            <w:r>
              <w:rPr>
                <w:rFonts w:hint="eastAsia" w:ascii="Times New Roman" w:hAnsi="Times New Roman"/>
                <w:color w:val="auto"/>
                <w:szCs w:val="21"/>
              </w:rPr>
              <w:t>.</w:t>
            </w:r>
            <w:r>
              <w:rPr>
                <w:rFonts w:hint="eastAsia"/>
                <w:color w:val="auto"/>
                <w:szCs w:val="21"/>
                <w:lang w:val="en-US" w:eastAsia="zh-CN"/>
              </w:rPr>
              <w:t>15</w:t>
            </w:r>
            <w:r>
              <w:rPr>
                <w:rFonts w:hint="eastAsia" w:ascii="Times New Roman" w:hAnsi="Times New Roman"/>
                <w:color w:val="auto"/>
                <w:szCs w:val="21"/>
                <w:lang w:val="en-US" w:eastAsia="zh-CN"/>
              </w:rPr>
              <w:t>。</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华文细黑" w:hAnsi="华文细黑" w:eastAsia="华文细黑" w:cs="华文细黑"/>
                <w:spacing w:val="-6"/>
                <w:sz w:val="21"/>
                <w:szCs w:val="21"/>
                <w:highlight w:val="none"/>
                <w:lang w:val="en-US" w:eastAsia="zh-CN"/>
              </w:rPr>
            </w:pPr>
            <w:r>
              <w:rPr>
                <w:rFonts w:hint="default" w:ascii="华文细黑" w:hAnsi="华文细黑" w:eastAsia="华文细黑" w:cs="华文细黑"/>
                <w:spacing w:val="-6"/>
                <w:sz w:val="21"/>
                <w:szCs w:val="21"/>
                <w:highlight w:val="none"/>
                <w:lang w:val="en-US" w:eastAsia="zh-CN"/>
              </w:rPr>
              <w:t>合规义务监视与合规性评价</w:t>
            </w:r>
          </w:p>
        </w:tc>
        <w:tc>
          <w:tcPr>
            <w:tcW w:w="9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EO6.1.3/9.1.2</w:t>
            </w:r>
          </w:p>
        </w:tc>
        <w:tc>
          <w:tcPr>
            <w:tcW w:w="10004" w:type="dxa"/>
          </w:tcPr>
          <w:p>
            <w:pPr>
              <w:bidi w:val="0"/>
              <w:ind w:firstLine="420" w:firstLineChars="200"/>
              <w:rPr>
                <w:rFonts w:hint="eastAsia"/>
                <w:lang w:val="en-US" w:eastAsia="zh-CN"/>
              </w:rPr>
            </w:pPr>
            <w:r>
              <w:rPr>
                <w:rFonts w:hint="eastAsia"/>
                <w:lang w:val="en-US" w:eastAsia="zh-CN"/>
              </w:rPr>
              <w:t>组织按照《法律、法规和其他要求控制程序》和《合规性评价控制程序》对环境、职业健康安全相关的适用法律法规进行识别、确定及合规性评价。</w:t>
            </w:r>
          </w:p>
          <w:p>
            <w:pPr>
              <w:bidi w:val="0"/>
              <w:ind w:firstLine="420" w:firstLineChars="200"/>
              <w:rPr>
                <w:rFonts w:hint="eastAsia"/>
                <w:lang w:val="en-US" w:eastAsia="zh-CN"/>
              </w:rPr>
            </w:pPr>
            <w:r>
              <w:rPr>
                <w:rFonts w:hint="eastAsia"/>
                <w:lang w:val="en-US" w:eastAsia="zh-CN"/>
              </w:rPr>
              <w:t>综合办公室负责对有关环境/安全卫生的法律、法规与其他相关要求进行识别、获取、保管与更新，并负责对环境/职业健康安全的法律、法规与其他相关要求执行情况进行符合性检查，将检查、评价结果传达到管理者代表和有关适用部门。其它职能部门根据与本部门有关的法律、法规与相关要求，通过程序文件、作业指导书与管理制度等对本部门的环境/安全卫生方面活动进行管理。</w:t>
            </w:r>
          </w:p>
          <w:p>
            <w:pPr>
              <w:bidi w:val="0"/>
              <w:ind w:firstLine="420" w:firstLineChars="200"/>
              <w:rPr>
                <w:rFonts w:hint="default"/>
                <w:lang w:val="en-US" w:eastAsia="zh-CN"/>
              </w:rPr>
            </w:pPr>
            <w:r>
              <w:rPr>
                <w:rFonts w:hint="eastAsia"/>
                <w:lang w:val="en-US" w:eastAsia="zh-CN"/>
              </w:rPr>
              <w:t>提供2022.4.20《适用的法律法规和其他要求清单（安全）》和《适用的法律法规和其他要求清单（环境）》，基本能够覆盖适用的法律法规和标准，基本能够满足识别和确定要求。</w:t>
            </w:r>
          </w:p>
          <w:p>
            <w:pPr>
              <w:spacing w:line="280" w:lineRule="exact"/>
              <w:ind w:firstLine="420" w:firstLineChars="200"/>
            </w:pPr>
            <w:r>
              <w:rPr>
                <w:rFonts w:hint="eastAsia"/>
                <w:lang w:val="en-US" w:eastAsia="zh-CN"/>
              </w:rPr>
              <w:t>查2022.8.30《合规性评价报告》：报告综述结论为各部门基本能严格遵守法律法规和其它相关的要求。</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rPr>
                <w:rFonts w:hint="default" w:ascii="华文细黑" w:hAnsi="华文细黑" w:eastAsia="华文细黑" w:cs="华文细黑"/>
                <w:spacing w:val="-6"/>
                <w:sz w:val="21"/>
                <w:szCs w:val="21"/>
                <w:highlight w:val="none"/>
                <w:lang w:val="en-US" w:eastAsia="zh-CN"/>
              </w:rPr>
            </w:pPr>
            <w:r>
              <w:rPr>
                <w:rFonts w:hint="eastAsia" w:ascii="宋体" w:hAnsi="宋体" w:eastAsia="宋体" w:cs="Arial"/>
                <w:b w:val="0"/>
                <w:bCs w:val="0"/>
                <w:sz w:val="21"/>
                <w:szCs w:val="21"/>
                <w:highlight w:val="none"/>
                <w:lang w:val="en-US" w:eastAsia="zh-CN"/>
              </w:rPr>
              <w:t>环境与安全控制准则及其运行记录总体情况</w:t>
            </w:r>
          </w:p>
        </w:tc>
        <w:tc>
          <w:tcPr>
            <w:tcW w:w="960" w:type="dxa"/>
          </w:tcPr>
          <w:p>
            <w:pPr>
              <w:rPr>
                <w:rFonts w:hint="default" w:ascii="华文细黑" w:hAnsi="华文细黑" w:eastAsia="华文细黑" w:cs="华文细黑"/>
                <w:lang w:val="en-US" w:eastAsia="zh-CN"/>
              </w:rPr>
            </w:pPr>
            <w:r>
              <w:rPr>
                <w:rFonts w:hint="eastAsia" w:ascii="华文细黑" w:hAnsi="华文细黑" w:cs="华文细黑"/>
                <w:lang w:val="en-US" w:eastAsia="zh-CN"/>
              </w:rPr>
              <w:t>EO8.1</w:t>
            </w:r>
          </w:p>
        </w:tc>
        <w:tc>
          <w:tcPr>
            <w:tcW w:w="10004" w:type="dxa"/>
          </w:tcPr>
          <w:p>
            <w:pPr>
              <w:spacing w:line="240" w:lineRule="auto"/>
              <w:ind w:firstLine="420" w:firstLineChars="200"/>
              <w:rPr>
                <w:rFonts w:hint="default" w:ascii="Times New Roman" w:hAnsi="Times New Roman"/>
                <w:color w:val="auto"/>
                <w:lang w:val="en-US" w:eastAsia="zh-CN"/>
              </w:rPr>
            </w:pPr>
            <w:r>
              <w:rPr>
                <w:rFonts w:hint="eastAsia"/>
                <w:color w:val="auto"/>
                <w:lang w:val="en-US" w:eastAsia="zh-CN"/>
              </w:rPr>
              <w:t>现场</w:t>
            </w:r>
            <w:r>
              <w:rPr>
                <w:rFonts w:hint="eastAsia" w:ascii="Times New Roman" w:hAnsi="Times New Roman"/>
                <w:color w:val="auto"/>
                <w:lang w:val="en-US" w:eastAsia="zh-CN"/>
              </w:rPr>
              <w:t>审核发现，组织相应环境和职业健康安全运行过程控制如下：</w:t>
            </w:r>
          </w:p>
          <w:p>
            <w:pPr>
              <w:spacing w:line="240" w:lineRule="auto"/>
              <w:ind w:firstLine="420" w:firstLineChars="200"/>
              <w:rPr>
                <w:rFonts w:hint="eastAsia" w:ascii="Times New Roman" w:hAnsi="Times New Roman"/>
                <w:color w:val="auto"/>
                <w:lang w:eastAsia="zh-CN"/>
              </w:rPr>
            </w:pPr>
            <w:r>
              <w:rPr>
                <w:rFonts w:hint="eastAsia" w:ascii="Times New Roman" w:hAnsi="Times New Roman"/>
                <w:color w:val="auto"/>
                <w:lang w:eastAsia="zh-CN"/>
              </w:rPr>
              <w:t>1</w:t>
            </w:r>
            <w:r>
              <w:rPr>
                <w:rFonts w:hint="eastAsia" w:ascii="Times New Roman" w:hAnsi="Times New Roman"/>
                <w:color w:val="auto"/>
                <w:lang w:val="en-US" w:eastAsia="zh-CN"/>
              </w:rPr>
              <w:t>.</w:t>
            </w:r>
            <w:r>
              <w:rPr>
                <w:rFonts w:hint="eastAsia" w:ascii="Times New Roman" w:hAnsi="Times New Roman"/>
                <w:color w:val="auto"/>
                <w:lang w:eastAsia="zh-CN"/>
              </w:rPr>
              <w:t>固废管控</w:t>
            </w:r>
          </w:p>
          <w:p>
            <w:pPr>
              <w:spacing w:line="240" w:lineRule="auto"/>
              <w:ind w:firstLine="420" w:firstLineChars="200"/>
              <w:rPr>
                <w:rFonts w:hint="eastAsia" w:ascii="Times New Roman" w:hAnsi="Times New Roman"/>
                <w:color w:val="auto"/>
                <w:lang w:val="en-US" w:eastAsia="zh-CN"/>
              </w:rPr>
            </w:pPr>
            <w:r>
              <w:rPr>
                <w:rFonts w:hint="eastAsia" w:ascii="Times New Roman" w:hAnsi="Times New Roman"/>
                <w:color w:val="auto"/>
                <w:lang w:eastAsia="zh-CN"/>
              </w:rPr>
              <w:t>主要为</w:t>
            </w:r>
            <w:r>
              <w:rPr>
                <w:rFonts w:hint="eastAsia"/>
                <w:color w:val="auto"/>
                <w:lang w:val="en-US" w:eastAsia="zh-CN"/>
              </w:rPr>
              <w:t>办公和</w:t>
            </w:r>
            <w:r>
              <w:rPr>
                <w:rFonts w:hint="eastAsia" w:ascii="Times New Roman" w:hAnsi="Times New Roman"/>
                <w:color w:val="auto"/>
                <w:lang w:eastAsia="zh-CN"/>
              </w:rPr>
              <w:t>生活垃圾，</w:t>
            </w:r>
            <w:r>
              <w:rPr>
                <w:rFonts w:hint="eastAsia"/>
                <w:color w:val="auto"/>
                <w:lang w:val="en-US" w:eastAsia="zh-CN"/>
              </w:rPr>
              <w:t>有垃圾分类设施设备，</w:t>
            </w:r>
            <w:r>
              <w:rPr>
                <w:rFonts w:hint="eastAsia" w:ascii="Times New Roman" w:hAnsi="Times New Roman"/>
                <w:color w:val="auto"/>
                <w:lang w:eastAsia="zh-CN"/>
              </w:rPr>
              <w:t>由市政环卫</w:t>
            </w:r>
            <w:r>
              <w:rPr>
                <w:rFonts w:hint="eastAsia"/>
                <w:color w:val="auto"/>
                <w:lang w:val="en-US" w:eastAsia="zh-CN"/>
              </w:rPr>
              <w:t>统一收集</w:t>
            </w:r>
            <w:r>
              <w:rPr>
                <w:rFonts w:hint="eastAsia" w:ascii="Times New Roman" w:hAnsi="Times New Roman"/>
                <w:color w:val="auto"/>
                <w:lang w:eastAsia="zh-CN"/>
              </w:rPr>
              <w:t>处理。</w:t>
            </w:r>
            <w:r>
              <w:rPr>
                <w:rFonts w:hint="eastAsia" w:ascii="Times New Roman" w:hAnsi="Times New Roman"/>
                <w:color w:val="auto"/>
                <w:lang w:val="en-US" w:eastAsia="zh-CN"/>
              </w:rPr>
              <w:t xml:space="preserve"> </w:t>
            </w:r>
          </w:p>
          <w:p>
            <w:pPr>
              <w:spacing w:line="240" w:lineRule="auto"/>
              <w:ind w:firstLine="420" w:firstLineChars="200"/>
              <w:rPr>
                <w:rFonts w:hint="eastAsia" w:ascii="Times New Roman" w:hAnsi="Times New Roman"/>
                <w:color w:val="auto"/>
                <w:lang w:eastAsia="zh-CN"/>
              </w:rPr>
            </w:pPr>
            <w:r>
              <w:rPr>
                <w:rFonts w:hint="eastAsia" w:ascii="Times New Roman" w:hAnsi="Times New Roman"/>
                <w:color w:val="auto"/>
                <w:lang w:val="en-US" w:eastAsia="zh-CN"/>
              </w:rPr>
              <w:t>2.</w:t>
            </w:r>
            <w:r>
              <w:rPr>
                <w:rFonts w:hint="eastAsia" w:ascii="Times New Roman" w:hAnsi="Times New Roman"/>
                <w:color w:val="auto"/>
                <w:lang w:eastAsia="zh-CN"/>
              </w:rPr>
              <w:t>废水管控</w:t>
            </w:r>
          </w:p>
          <w:p>
            <w:pPr>
              <w:spacing w:line="240" w:lineRule="auto"/>
              <w:ind w:firstLine="420" w:firstLineChars="200"/>
              <w:rPr>
                <w:rFonts w:hint="eastAsia" w:ascii="Times New Roman" w:hAnsi="Times New Roman"/>
                <w:color w:val="auto"/>
                <w:lang w:eastAsia="zh-CN"/>
              </w:rPr>
            </w:pPr>
            <w:r>
              <w:rPr>
                <w:rFonts w:hint="eastAsia" w:ascii="Times New Roman" w:hAnsi="Times New Roman"/>
                <w:color w:val="auto"/>
                <w:lang w:eastAsia="zh-CN"/>
              </w:rPr>
              <w:t>主要生活废水排入政府污水管网统一处理。</w:t>
            </w:r>
          </w:p>
          <w:p>
            <w:pPr>
              <w:spacing w:line="240" w:lineRule="auto"/>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3.废气</w:t>
            </w:r>
          </w:p>
          <w:p>
            <w:pPr>
              <w:spacing w:line="240" w:lineRule="auto"/>
              <w:ind w:firstLine="420" w:firstLineChars="200"/>
              <w:rPr>
                <w:rFonts w:hint="eastAsia" w:ascii="Times New Roman" w:hAnsi="Times New Roman"/>
                <w:color w:val="auto"/>
                <w:lang w:val="en-US" w:eastAsia="zh-CN"/>
              </w:rPr>
            </w:pPr>
            <w:r>
              <w:rPr>
                <w:rFonts w:hint="eastAsia"/>
                <w:color w:val="auto"/>
                <w:lang w:val="en-US" w:eastAsia="zh-CN"/>
              </w:rPr>
              <w:t>办公</w:t>
            </w:r>
            <w:r>
              <w:rPr>
                <w:rFonts w:hint="eastAsia" w:ascii="Times New Roman" w:hAnsi="Times New Roman"/>
                <w:color w:val="auto"/>
                <w:lang w:val="en-US" w:eastAsia="zh-CN"/>
              </w:rPr>
              <w:t>过程</w:t>
            </w:r>
            <w:r>
              <w:rPr>
                <w:rFonts w:hint="eastAsia"/>
                <w:color w:val="auto"/>
                <w:lang w:val="en-US" w:eastAsia="zh-CN"/>
              </w:rPr>
              <w:t>及相应管理活动</w:t>
            </w:r>
            <w:r>
              <w:rPr>
                <w:rFonts w:hint="eastAsia" w:ascii="Times New Roman" w:hAnsi="Times New Roman"/>
                <w:color w:val="auto"/>
                <w:lang w:val="en-US" w:eastAsia="zh-CN"/>
              </w:rPr>
              <w:t>无废气产生。</w:t>
            </w:r>
          </w:p>
          <w:p>
            <w:pPr>
              <w:spacing w:line="240" w:lineRule="auto"/>
              <w:ind w:firstLine="420" w:firstLineChars="200"/>
              <w:rPr>
                <w:rFonts w:hint="eastAsia" w:ascii="Times New Roman" w:hAnsi="Times New Roman"/>
                <w:color w:val="auto"/>
                <w:lang w:eastAsia="zh-CN"/>
              </w:rPr>
            </w:pPr>
            <w:r>
              <w:rPr>
                <w:rFonts w:hint="eastAsia" w:ascii="Times New Roman" w:hAnsi="Times New Roman"/>
                <w:color w:val="auto"/>
                <w:lang w:val="en-US" w:eastAsia="zh-CN"/>
              </w:rPr>
              <w:t>4.</w:t>
            </w:r>
            <w:r>
              <w:rPr>
                <w:rFonts w:hint="eastAsia" w:ascii="Times New Roman" w:hAnsi="Times New Roman"/>
                <w:color w:val="auto"/>
                <w:lang w:eastAsia="zh-CN"/>
              </w:rPr>
              <w:t>能源资源管控</w:t>
            </w:r>
          </w:p>
          <w:p>
            <w:pPr>
              <w:spacing w:line="240" w:lineRule="auto"/>
              <w:ind w:firstLine="420" w:firstLineChars="200"/>
              <w:rPr>
                <w:rFonts w:hint="eastAsia" w:ascii="Times New Roman" w:hAnsi="Times New Roman"/>
                <w:color w:val="auto"/>
                <w:lang w:eastAsia="zh-CN"/>
              </w:rPr>
            </w:pPr>
            <w:r>
              <w:rPr>
                <w:rFonts w:hint="eastAsia"/>
                <w:color w:val="auto"/>
                <w:lang w:val="en-US" w:eastAsia="zh-CN"/>
              </w:rPr>
              <w:t>办公及服务活动</w:t>
            </w:r>
            <w:r>
              <w:rPr>
                <w:rFonts w:hint="eastAsia" w:ascii="Times New Roman" w:hAnsi="Times New Roman"/>
                <w:color w:val="auto"/>
                <w:lang w:eastAsia="zh-CN"/>
              </w:rPr>
              <w:t>注意节水、节电、节油，人走关闭开关，未发现有漏水和浪费电能</w:t>
            </w:r>
            <w:r>
              <w:rPr>
                <w:rFonts w:hint="eastAsia"/>
                <w:color w:val="auto"/>
                <w:lang w:val="en-US" w:eastAsia="zh-CN"/>
              </w:rPr>
              <w:t>等</w:t>
            </w:r>
            <w:r>
              <w:rPr>
                <w:rFonts w:hint="eastAsia" w:ascii="Times New Roman" w:hAnsi="Times New Roman"/>
                <w:color w:val="auto"/>
                <w:lang w:eastAsia="zh-CN"/>
              </w:rPr>
              <w:t>现象。</w:t>
            </w:r>
          </w:p>
          <w:p>
            <w:pPr>
              <w:spacing w:line="240" w:lineRule="auto"/>
              <w:ind w:firstLine="420" w:firstLineChars="200"/>
              <w:rPr>
                <w:rFonts w:hint="eastAsia" w:ascii="Times New Roman" w:hAnsi="Times New Roman"/>
                <w:color w:val="auto"/>
                <w:lang w:eastAsia="zh-CN"/>
              </w:rPr>
            </w:pPr>
            <w:r>
              <w:rPr>
                <w:rFonts w:hint="eastAsia" w:ascii="Times New Roman" w:hAnsi="Times New Roman"/>
                <w:color w:val="auto"/>
                <w:lang w:val="en-US" w:eastAsia="zh-CN"/>
              </w:rPr>
              <w:t>5.</w:t>
            </w:r>
            <w:r>
              <w:rPr>
                <w:rFonts w:hint="eastAsia" w:ascii="Times New Roman" w:hAnsi="Times New Roman"/>
                <w:color w:val="auto"/>
                <w:lang w:eastAsia="zh-CN"/>
              </w:rPr>
              <w:t>潜在火灾管控</w:t>
            </w:r>
          </w:p>
          <w:p>
            <w:pPr>
              <w:spacing w:line="240" w:lineRule="auto"/>
              <w:ind w:firstLine="420" w:firstLineChars="200"/>
              <w:rPr>
                <w:rFonts w:hint="default" w:ascii="Times New Roman" w:hAnsi="Times New Roman"/>
                <w:color w:val="auto"/>
                <w:lang w:val="en-US" w:eastAsia="zh-CN"/>
              </w:rPr>
            </w:pPr>
            <w:r>
              <w:rPr>
                <w:rFonts w:hint="eastAsia"/>
                <w:color w:val="auto"/>
                <w:lang w:val="en-US" w:eastAsia="zh-CN"/>
              </w:rPr>
              <w:t>办公区域按要求</w:t>
            </w:r>
            <w:r>
              <w:rPr>
                <w:rFonts w:hint="eastAsia" w:ascii="Times New Roman" w:hAnsi="Times New Roman"/>
                <w:color w:val="auto"/>
                <w:lang w:val="en-US" w:eastAsia="zh-CN"/>
              </w:rPr>
              <w:t>配备了消防栓</w:t>
            </w:r>
            <w:r>
              <w:rPr>
                <w:rFonts w:hint="eastAsia"/>
                <w:color w:val="auto"/>
                <w:lang w:val="en-US" w:eastAsia="zh-CN"/>
              </w:rPr>
              <w:t>、</w:t>
            </w:r>
            <w:r>
              <w:rPr>
                <w:rFonts w:hint="eastAsia" w:ascii="Times New Roman" w:hAnsi="Times New Roman"/>
                <w:color w:val="auto"/>
                <w:lang w:val="en-US" w:eastAsia="zh-CN"/>
              </w:rPr>
              <w:t>灭火器，状态有效，维护检查符合要求。</w:t>
            </w:r>
          </w:p>
          <w:p>
            <w:pPr>
              <w:spacing w:line="240" w:lineRule="auto"/>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6.触电安全防护：</w:t>
            </w:r>
          </w:p>
          <w:p>
            <w:pPr>
              <w:spacing w:line="240" w:lineRule="auto"/>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现场</w:t>
            </w:r>
            <w:r>
              <w:rPr>
                <w:rFonts w:hint="eastAsia"/>
                <w:color w:val="auto"/>
                <w:lang w:val="en-US" w:eastAsia="zh-CN"/>
              </w:rPr>
              <w:t>电气设施等都有</w:t>
            </w:r>
            <w:r>
              <w:rPr>
                <w:rFonts w:hint="eastAsia" w:ascii="Times New Roman" w:hAnsi="Times New Roman"/>
                <w:color w:val="auto"/>
                <w:lang w:val="en-US" w:eastAsia="zh-CN"/>
              </w:rPr>
              <w:t>漏电保护器</w:t>
            </w:r>
            <w:r>
              <w:rPr>
                <w:rFonts w:hint="eastAsia"/>
                <w:color w:val="auto"/>
                <w:lang w:val="en-US" w:eastAsia="zh-CN"/>
              </w:rPr>
              <w:t>，</w:t>
            </w:r>
            <w:r>
              <w:rPr>
                <w:rFonts w:hint="eastAsia" w:ascii="Times New Roman" w:hAnsi="Times New Roman"/>
                <w:color w:val="auto"/>
                <w:lang w:val="en-US" w:eastAsia="zh-CN"/>
              </w:rPr>
              <w:t>状态良好。</w:t>
            </w:r>
          </w:p>
          <w:p>
            <w:pPr>
              <w:spacing w:line="240" w:lineRule="auto"/>
              <w:ind w:firstLine="420" w:firstLineChars="200"/>
              <w:rPr>
                <w:rFonts w:hint="eastAsia" w:ascii="Times New Roman" w:hAnsi="Times New Roman"/>
                <w:color w:val="auto"/>
                <w:lang w:eastAsia="zh-CN"/>
              </w:rPr>
            </w:pPr>
            <w:r>
              <w:rPr>
                <w:rFonts w:hint="eastAsia" w:ascii="Times New Roman" w:hAnsi="Times New Roman"/>
                <w:color w:val="auto"/>
                <w:lang w:val="en-US" w:eastAsia="zh-CN"/>
              </w:rPr>
              <w:t>7.</w:t>
            </w:r>
            <w:r>
              <w:rPr>
                <w:rFonts w:hint="eastAsia" w:ascii="Times New Roman" w:hAnsi="Times New Roman"/>
                <w:color w:val="auto"/>
                <w:lang w:eastAsia="zh-CN"/>
              </w:rPr>
              <w:t>安全防护</w:t>
            </w:r>
          </w:p>
          <w:p>
            <w:pPr>
              <w:spacing w:line="280" w:lineRule="exact"/>
              <w:ind w:firstLine="420" w:firstLineChars="200"/>
            </w:pPr>
            <w:r>
              <w:rPr>
                <w:rFonts w:hint="eastAsia" w:ascii="Times New Roman" w:hAnsi="Times New Roman"/>
                <w:color w:val="auto"/>
                <w:lang w:eastAsia="zh-CN"/>
              </w:rPr>
              <w:t>疫情期间</w:t>
            </w:r>
            <w:r>
              <w:rPr>
                <w:rFonts w:hint="eastAsia" w:ascii="Times New Roman" w:hAnsi="Times New Roman"/>
                <w:color w:val="auto"/>
                <w:lang w:val="en-US" w:eastAsia="zh-CN"/>
              </w:rPr>
              <w:t>进出</w:t>
            </w:r>
            <w:r>
              <w:rPr>
                <w:rFonts w:hint="eastAsia"/>
                <w:color w:val="auto"/>
                <w:lang w:val="en-US" w:eastAsia="zh-CN"/>
              </w:rPr>
              <w:t>公司人员</w:t>
            </w:r>
            <w:r>
              <w:rPr>
                <w:rFonts w:hint="eastAsia" w:ascii="Times New Roman" w:hAnsi="Times New Roman"/>
                <w:color w:val="auto"/>
                <w:lang w:eastAsia="zh-CN"/>
              </w:rPr>
              <w:t>员进行</w:t>
            </w:r>
            <w:r>
              <w:rPr>
                <w:rFonts w:hint="eastAsia" w:ascii="Times New Roman" w:hAnsi="Times New Roman"/>
                <w:color w:val="auto"/>
                <w:lang w:val="en-US" w:eastAsia="zh-CN"/>
              </w:rPr>
              <w:t>体温检查，扫码</w:t>
            </w:r>
            <w:r>
              <w:rPr>
                <w:rFonts w:hint="eastAsia" w:ascii="Times New Roman" w:hAnsi="Times New Roman"/>
                <w:color w:val="auto"/>
                <w:lang w:eastAsia="zh-CN"/>
              </w:rPr>
              <w:t>登记，</w:t>
            </w:r>
            <w:r>
              <w:rPr>
                <w:rFonts w:hint="eastAsia" w:ascii="Times New Roman" w:hAnsi="Times New Roman"/>
                <w:color w:val="auto"/>
                <w:lang w:val="en-US" w:eastAsia="zh-CN"/>
              </w:rPr>
              <w:t>查看双码</w:t>
            </w:r>
            <w:r>
              <w:rPr>
                <w:rFonts w:hint="eastAsia" w:ascii="Times New Roman" w:hAnsi="Times New Roman"/>
                <w:color w:val="auto"/>
                <w:lang w:eastAsia="zh-CN"/>
              </w:rPr>
              <w:t>；</w:t>
            </w:r>
            <w:r>
              <w:rPr>
                <w:rFonts w:hint="eastAsia" w:ascii="Times New Roman" w:hAnsi="Times New Roman"/>
                <w:color w:val="auto"/>
                <w:lang w:val="en-US" w:eastAsia="zh-CN"/>
              </w:rPr>
              <w:t>组织</w:t>
            </w:r>
            <w:r>
              <w:rPr>
                <w:rFonts w:hint="eastAsia" w:ascii="Times New Roman" w:hAnsi="Times New Roman"/>
                <w:color w:val="auto"/>
                <w:lang w:eastAsia="zh-CN"/>
              </w:rPr>
              <w:t>给员工发放口罩</w:t>
            </w:r>
            <w:r>
              <w:rPr>
                <w:rFonts w:hint="eastAsia"/>
                <w:color w:val="auto"/>
                <w:lang w:eastAsia="zh-CN"/>
              </w:rPr>
              <w:t>、</w:t>
            </w:r>
            <w:r>
              <w:rPr>
                <w:rFonts w:hint="eastAsia"/>
                <w:color w:val="auto"/>
                <w:lang w:val="en-US" w:eastAsia="zh-CN"/>
              </w:rPr>
              <w:t>手套</w:t>
            </w:r>
            <w:r>
              <w:rPr>
                <w:rFonts w:hint="eastAsia" w:ascii="Times New Roman" w:hAnsi="Times New Roman"/>
                <w:color w:val="auto"/>
                <w:lang w:eastAsia="zh-CN"/>
              </w:rPr>
              <w:t>等劳保用品</w:t>
            </w:r>
            <w:r>
              <w:rPr>
                <w:rFonts w:hint="eastAsia" w:ascii="Times New Roman" w:hAnsi="Times New Roman"/>
                <w:color w:val="auto"/>
                <w:lang w:val="en-US" w:eastAsia="zh-CN"/>
              </w:rPr>
              <w:t>等。</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华文细黑" w:hAnsi="华文细黑" w:eastAsia="华文细黑" w:cs="华文细黑"/>
                <w:spacing w:val="-6"/>
                <w:sz w:val="21"/>
                <w:szCs w:val="21"/>
                <w:highlight w:val="none"/>
                <w:lang w:val="en-US" w:eastAsia="zh-CN"/>
              </w:rPr>
            </w:pPr>
            <w:r>
              <w:rPr>
                <w:rFonts w:hint="eastAsia" w:ascii="华文细黑" w:hAnsi="华文细黑" w:cs="华文细黑"/>
                <w:spacing w:val="-6"/>
                <w:sz w:val="21"/>
                <w:szCs w:val="21"/>
                <w:highlight w:val="none"/>
                <w:lang w:val="en-US" w:eastAsia="zh-CN"/>
              </w:rPr>
              <w:t>组织总部应急准备与响应</w:t>
            </w:r>
          </w:p>
        </w:tc>
        <w:tc>
          <w:tcPr>
            <w:tcW w:w="960" w:type="dxa"/>
          </w:tcPr>
          <w:p>
            <w:pPr>
              <w:rPr>
                <w:rFonts w:hint="default" w:ascii="华文细黑" w:hAnsi="华文细黑" w:eastAsia="华文细黑" w:cs="华文细黑"/>
                <w:lang w:val="en-US" w:eastAsia="zh-CN"/>
              </w:rPr>
            </w:pPr>
            <w:r>
              <w:rPr>
                <w:rFonts w:hint="eastAsia" w:ascii="华文细黑" w:hAnsi="华文细黑" w:cs="华文细黑"/>
                <w:spacing w:val="-6"/>
                <w:sz w:val="21"/>
                <w:szCs w:val="21"/>
                <w:highlight w:val="none"/>
                <w:lang w:val="en-US" w:eastAsia="zh-CN"/>
              </w:rPr>
              <w:t>EO8.2</w:t>
            </w:r>
          </w:p>
        </w:tc>
        <w:tc>
          <w:tcPr>
            <w:tcW w:w="10004" w:type="dxa"/>
          </w:tcPr>
          <w:p>
            <w:pPr>
              <w:spacing w:line="280" w:lineRule="exact"/>
              <w:ind w:firstLine="420" w:firstLineChars="200"/>
              <w:rPr>
                <w:color w:val="auto"/>
                <w:szCs w:val="21"/>
              </w:rPr>
            </w:pPr>
            <w:r>
              <w:rPr>
                <w:rFonts w:hint="eastAsia"/>
                <w:color w:val="auto"/>
                <w:szCs w:val="21"/>
                <w:lang w:val="en-US" w:eastAsia="zh-CN"/>
              </w:rPr>
              <w:t>组织</w:t>
            </w:r>
            <w:r>
              <w:rPr>
                <w:rFonts w:hint="eastAsia"/>
                <w:color w:val="auto"/>
                <w:szCs w:val="21"/>
              </w:rPr>
              <w:t>编制了《应急准备和响应</w:t>
            </w:r>
            <w:r>
              <w:rPr>
                <w:rFonts w:hint="eastAsia"/>
                <w:color w:val="auto"/>
                <w:szCs w:val="21"/>
                <w:lang w:val="en-US" w:eastAsia="zh-CN"/>
              </w:rPr>
              <w:t>控制</w:t>
            </w:r>
            <w:r>
              <w:rPr>
                <w:rFonts w:hint="eastAsia"/>
                <w:color w:val="auto"/>
                <w:szCs w:val="21"/>
              </w:rPr>
              <w:t>程序》，查看内容基本</w:t>
            </w:r>
            <w:r>
              <w:rPr>
                <w:rFonts w:hint="eastAsia"/>
                <w:color w:val="auto"/>
                <w:szCs w:val="21"/>
                <w:lang w:val="en-US" w:eastAsia="zh-CN"/>
              </w:rPr>
              <w:t>无变化，</w:t>
            </w:r>
            <w:r>
              <w:rPr>
                <w:rFonts w:hint="eastAsia"/>
                <w:color w:val="auto"/>
                <w:szCs w:val="21"/>
              </w:rPr>
              <w:t>符合要求。</w:t>
            </w:r>
          </w:p>
          <w:p>
            <w:pPr>
              <w:spacing w:line="280" w:lineRule="exact"/>
              <w:ind w:firstLine="420" w:firstLineChars="200"/>
              <w:rPr>
                <w:rFonts w:hint="eastAsia" w:ascii="Times New Roman" w:hAnsi="Times New Roman"/>
                <w:color w:val="auto"/>
                <w:szCs w:val="21"/>
              </w:rPr>
            </w:pPr>
            <w:r>
              <w:rPr>
                <w:rFonts w:hint="eastAsia"/>
                <w:color w:val="auto"/>
                <w:szCs w:val="21"/>
                <w:lang w:val="en-US" w:eastAsia="zh-CN"/>
              </w:rPr>
              <w:t>组织根据程序要求结合实际</w:t>
            </w:r>
            <w:r>
              <w:rPr>
                <w:rFonts w:hint="eastAsia"/>
                <w:color w:val="auto"/>
                <w:szCs w:val="21"/>
              </w:rPr>
              <w:t>策划</w:t>
            </w:r>
            <w:r>
              <w:rPr>
                <w:rFonts w:hint="eastAsia"/>
                <w:color w:val="auto"/>
                <w:szCs w:val="21"/>
                <w:lang w:val="en-US" w:eastAsia="zh-CN"/>
              </w:rPr>
              <w:t>了</w:t>
            </w:r>
            <w:r>
              <w:rPr>
                <w:rFonts w:hint="eastAsia"/>
                <w:color w:val="auto"/>
                <w:szCs w:val="21"/>
              </w:rPr>
              <w:t>应急预案包括</w:t>
            </w:r>
            <w:r>
              <w:rPr>
                <w:rFonts w:hint="eastAsia"/>
                <w:color w:val="auto"/>
                <w:szCs w:val="21"/>
                <w:lang w:val="en-US" w:eastAsia="zh-CN"/>
              </w:rPr>
              <w:t>火灾应急预案、疫情防控应急预案</w:t>
            </w:r>
            <w:r>
              <w:rPr>
                <w:rFonts w:hint="eastAsia" w:ascii="Times New Roman" w:hAnsi="Times New Roman"/>
                <w:color w:val="auto"/>
                <w:szCs w:val="21"/>
              </w:rPr>
              <w:t>等</w:t>
            </w:r>
            <w:r>
              <w:rPr>
                <w:rFonts w:hint="eastAsia" w:ascii="Times New Roman" w:hAnsi="Times New Roman"/>
                <w:color w:val="auto"/>
                <w:szCs w:val="21"/>
                <w:lang w:eastAsia="zh-CN"/>
              </w:rPr>
              <w:t>，</w:t>
            </w:r>
            <w:r>
              <w:rPr>
                <w:rFonts w:hint="eastAsia" w:ascii="Times New Roman" w:hAnsi="Times New Roman"/>
                <w:color w:val="auto"/>
                <w:szCs w:val="21"/>
              </w:rPr>
              <w:t>基本合理。在体系运行期间没有发生异常情况。</w:t>
            </w:r>
          </w:p>
          <w:p>
            <w:pPr>
              <w:spacing w:line="280" w:lineRule="exact"/>
              <w:ind w:firstLine="420" w:firstLineChars="200"/>
              <w:rPr>
                <w:rFonts w:hint="default" w:ascii="Times New Roman" w:hAnsi="Times New Roman"/>
                <w:color w:val="auto"/>
                <w:szCs w:val="21"/>
                <w:lang w:val="en-US" w:eastAsia="zh-CN"/>
              </w:rPr>
            </w:pPr>
            <w:r>
              <w:rPr>
                <w:rFonts w:hint="eastAsia" w:ascii="Times New Roman" w:hAnsi="Times New Roman"/>
                <w:color w:val="auto"/>
                <w:szCs w:val="21"/>
                <w:lang w:val="en-US" w:eastAsia="zh-CN"/>
              </w:rPr>
              <w:t>查消防演练</w:t>
            </w:r>
            <w:r>
              <w:rPr>
                <w:rFonts w:hint="eastAsia"/>
                <w:color w:val="auto"/>
                <w:szCs w:val="21"/>
                <w:lang w:val="en-US" w:eastAsia="zh-CN"/>
              </w:rPr>
              <w:t>记录</w:t>
            </w:r>
            <w:r>
              <w:rPr>
                <w:rFonts w:hint="eastAsia" w:ascii="Times New Roman" w:hAnsi="Times New Roman"/>
                <w:color w:val="auto"/>
                <w:szCs w:val="21"/>
                <w:lang w:val="en-US" w:eastAsia="zh-CN"/>
              </w:rPr>
              <w:t>：演练时间</w:t>
            </w:r>
            <w:r>
              <w:rPr>
                <w:rFonts w:hint="eastAsia"/>
                <w:color w:val="auto"/>
                <w:szCs w:val="21"/>
                <w:lang w:val="en-US" w:eastAsia="zh-CN"/>
              </w:rPr>
              <w:t>：2022年6月15日；</w:t>
            </w:r>
            <w:r>
              <w:rPr>
                <w:rFonts w:hint="eastAsia" w:ascii="Times New Roman" w:hAnsi="Times New Roman"/>
                <w:color w:val="auto"/>
                <w:szCs w:val="21"/>
                <w:lang w:val="en-US" w:eastAsia="zh-CN"/>
              </w:rPr>
              <w:t>地点：</w:t>
            </w:r>
            <w:r>
              <w:rPr>
                <w:rFonts w:hint="eastAsia"/>
                <w:color w:val="auto"/>
                <w:szCs w:val="21"/>
                <w:lang w:val="en-US" w:eastAsia="zh-CN"/>
              </w:rPr>
              <w:t>楼下</w:t>
            </w:r>
            <w:r>
              <w:rPr>
                <w:rFonts w:hint="eastAsia" w:ascii="Times New Roman" w:hAnsi="Times New Roman"/>
                <w:color w:val="auto"/>
                <w:szCs w:val="21"/>
                <w:lang w:val="en-US" w:eastAsia="zh-CN"/>
              </w:rPr>
              <w:t>；参加人员：</w:t>
            </w:r>
            <w:r>
              <w:rPr>
                <w:rFonts w:hint="eastAsia"/>
                <w:color w:val="auto"/>
                <w:szCs w:val="21"/>
                <w:lang w:val="en-US" w:eastAsia="zh-CN"/>
              </w:rPr>
              <w:t>项目所有服务人员</w:t>
            </w:r>
            <w:r>
              <w:rPr>
                <w:rFonts w:hint="eastAsia" w:ascii="Times New Roman" w:hAnsi="Times New Roman"/>
                <w:color w:val="auto"/>
                <w:szCs w:val="21"/>
                <w:lang w:val="en-US" w:eastAsia="zh-CN"/>
              </w:rPr>
              <w:t>等；</w:t>
            </w:r>
            <w:r>
              <w:rPr>
                <w:rFonts w:hint="eastAsia"/>
                <w:color w:val="auto"/>
                <w:szCs w:val="21"/>
                <w:lang w:val="en-US" w:eastAsia="zh-CN"/>
              </w:rPr>
              <w:t>提供</w:t>
            </w:r>
            <w:r>
              <w:rPr>
                <w:rFonts w:hint="eastAsia" w:ascii="Times New Roman" w:hAnsi="Times New Roman"/>
                <w:color w:val="auto"/>
                <w:szCs w:val="21"/>
                <w:lang w:val="en-US" w:eastAsia="zh-CN"/>
              </w:rPr>
              <w:t>演练过程</w:t>
            </w:r>
            <w:r>
              <w:rPr>
                <w:rFonts w:hint="eastAsia"/>
                <w:color w:val="auto"/>
                <w:szCs w:val="21"/>
                <w:lang w:val="en-US" w:eastAsia="zh-CN"/>
              </w:rPr>
              <w:t>照片</w:t>
            </w:r>
            <w:r>
              <w:rPr>
                <w:rFonts w:hint="eastAsia" w:ascii="Times New Roman" w:hAnsi="Times New Roman"/>
                <w:color w:val="auto"/>
                <w:szCs w:val="21"/>
                <w:lang w:val="en-US" w:eastAsia="zh-CN"/>
              </w:rPr>
              <w:t>，并对预案的有效性进行了评价。</w:t>
            </w:r>
          </w:p>
          <w:p>
            <w:pPr>
              <w:ind w:firstLine="420" w:firstLineChars="200"/>
              <w:rPr>
                <w:rFonts w:hint="default" w:ascii="Times New Roman" w:hAnsi="Times New Roman"/>
                <w:color w:val="FF0000"/>
                <w:szCs w:val="21"/>
                <w:lang w:val="en-US" w:eastAsia="zh-CN"/>
              </w:rPr>
            </w:pPr>
            <w:r>
              <w:rPr>
                <w:rFonts w:hint="eastAsia"/>
                <w:color w:val="auto"/>
                <w:szCs w:val="21"/>
                <w:lang w:val="en-US" w:eastAsia="zh-CN"/>
              </w:rPr>
              <w:t xml:space="preserve">图：消防演练            </w:t>
            </w:r>
            <w:r>
              <w:rPr>
                <w:rFonts w:hint="eastAsia"/>
                <w:color w:val="FF0000"/>
                <w:szCs w:val="21"/>
                <w:lang w:val="en-US" w:eastAsia="zh-CN"/>
              </w:rPr>
              <w:t xml:space="preserve"> </w:t>
            </w:r>
            <w:r>
              <w:rPr>
                <w:rFonts w:hint="eastAsia"/>
                <w:color w:val="auto"/>
                <w:szCs w:val="21"/>
                <w:lang w:val="en-US" w:eastAsia="zh-CN"/>
              </w:rPr>
              <w:t xml:space="preserve"> </w:t>
            </w:r>
            <w:r>
              <w:rPr>
                <w:rFonts w:hint="eastAsia"/>
                <w:color w:val="FF0000"/>
                <w:szCs w:val="21"/>
                <w:lang w:val="en-US" w:eastAsia="zh-CN"/>
              </w:rPr>
              <w:t xml:space="preserve">   </w:t>
            </w:r>
          </w:p>
          <w:p>
            <w:pPr>
              <w:rPr>
                <w:rFonts w:hint="eastAsia" w:ascii="Times New Roman" w:hAnsi="Times New Roman"/>
                <w:color w:val="FF0000"/>
                <w:szCs w:val="21"/>
                <w:lang w:val="en-US" w:eastAsia="zh-CN"/>
              </w:rPr>
            </w:pPr>
            <w:r>
              <w:rPr>
                <w:rFonts w:hint="eastAsia"/>
                <w:color w:val="FF0000"/>
                <w:lang w:val="en-US" w:eastAsia="zh-CN"/>
              </w:rPr>
              <w:t xml:space="preserve">    </w:t>
            </w:r>
            <w:r>
              <w:drawing>
                <wp:inline distT="0" distB="0" distL="114300" distR="114300">
                  <wp:extent cx="2940685" cy="188277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940685" cy="1882775"/>
                          </a:xfrm>
                          <a:prstGeom prst="rect">
                            <a:avLst/>
                          </a:prstGeom>
                          <a:noFill/>
                          <a:ln>
                            <a:noFill/>
                          </a:ln>
                        </pic:spPr>
                      </pic:pic>
                    </a:graphicData>
                  </a:graphic>
                </wp:inline>
              </w:drawing>
            </w:r>
            <w:r>
              <w:rPr>
                <w:rFonts w:hint="eastAsia"/>
                <w:lang w:val="en-US" w:eastAsia="zh-CN"/>
              </w:rPr>
              <w:t xml:space="preserve"> </w:t>
            </w:r>
          </w:p>
          <w:p>
            <w:pPr>
              <w:spacing w:line="280" w:lineRule="exact"/>
              <w:ind w:firstLine="420" w:firstLineChars="200"/>
            </w:pPr>
            <w:r>
              <w:rPr>
                <w:rFonts w:hint="eastAsia"/>
                <w:color w:val="auto"/>
                <w:szCs w:val="21"/>
                <w:lang w:val="en-US" w:eastAsia="zh-CN"/>
              </w:rPr>
              <w:t>截止审核期间，项目</w:t>
            </w:r>
            <w:r>
              <w:rPr>
                <w:rFonts w:hint="eastAsia" w:ascii="Times New Roman" w:hAnsi="Times New Roman"/>
                <w:color w:val="auto"/>
                <w:szCs w:val="21"/>
                <w:lang w:val="en-US" w:eastAsia="zh-CN"/>
              </w:rPr>
              <w:t>未发生火灾、触电等人身伤</w:t>
            </w:r>
            <w:r>
              <w:rPr>
                <w:rFonts w:hint="eastAsia"/>
                <w:color w:val="auto"/>
                <w:szCs w:val="21"/>
                <w:lang w:val="en-US" w:eastAsia="zh-CN"/>
              </w:rPr>
              <w:t>亡</w:t>
            </w:r>
            <w:r>
              <w:rPr>
                <w:rFonts w:hint="eastAsia" w:ascii="Times New Roman" w:hAnsi="Times New Roman"/>
                <w:color w:val="auto"/>
                <w:szCs w:val="21"/>
                <w:lang w:val="en-US" w:eastAsia="zh-CN"/>
              </w:rPr>
              <w:t>事故。</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bidi w:val="0"/>
              <w:rPr>
                <w:rFonts w:hint="default"/>
                <w:lang w:val="en-US" w:eastAsia="zh-CN"/>
              </w:rPr>
            </w:pPr>
            <w:r>
              <w:rPr>
                <w:rFonts w:hint="eastAsia"/>
                <w:lang w:val="en-US" w:eastAsia="zh-CN"/>
              </w:rPr>
              <w:t>不符合及其纠正措施</w:t>
            </w:r>
          </w:p>
        </w:tc>
        <w:tc>
          <w:tcPr>
            <w:tcW w:w="960" w:type="dxa"/>
          </w:tcPr>
          <w:p>
            <w:pPr>
              <w:bidi w:val="0"/>
              <w:rPr>
                <w:rFonts w:hint="default"/>
                <w:lang w:val="en-US" w:eastAsia="zh-CN"/>
              </w:rPr>
            </w:pPr>
            <w:r>
              <w:rPr>
                <w:rFonts w:hint="eastAsia"/>
                <w:lang w:val="en-US" w:eastAsia="zh-CN"/>
              </w:rPr>
              <w:t>E010.2</w:t>
            </w:r>
          </w:p>
        </w:tc>
        <w:tc>
          <w:tcPr>
            <w:tcW w:w="10004" w:type="dxa"/>
          </w:tcPr>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组织编制了</w:t>
            </w:r>
            <w:r>
              <w:rPr>
                <w:rFonts w:hint="eastAsia" w:ascii="Times New Roman" w:hAnsi="Times New Roman" w:cs="Times New Roman"/>
                <w:szCs w:val="21"/>
              </w:rPr>
              <w:t>《</w:t>
            </w:r>
            <w:r>
              <w:rPr>
                <w:rFonts w:hint="eastAsia" w:ascii="Times New Roman" w:hAnsi="Times New Roman" w:cs="Times New Roman"/>
                <w:szCs w:val="21"/>
                <w:lang w:val="en-US" w:eastAsia="zh-CN"/>
              </w:rPr>
              <w:t>纠正措施和预防措施控制程序</w:t>
            </w:r>
            <w:r>
              <w:rPr>
                <w:rFonts w:hint="eastAsia" w:ascii="Times New Roman" w:hAnsi="Times New Roman" w:cs="Times New Roman"/>
                <w:szCs w:val="21"/>
              </w:rPr>
              <w:t>》</w:t>
            </w:r>
            <w:r>
              <w:rPr>
                <w:rFonts w:hint="eastAsia"/>
                <w:color w:val="auto"/>
                <w:szCs w:val="21"/>
                <w:lang w:val="en-US" w:eastAsia="zh-CN"/>
              </w:rPr>
              <w:t>、《事故事件报告调查处理控制程序》，对</w:t>
            </w:r>
            <w:r>
              <w:rPr>
                <w:rFonts w:hint="eastAsia" w:ascii="Times New Roman" w:hAnsi="Times New Roman" w:cs="Times New Roman"/>
                <w:szCs w:val="21"/>
                <w:lang w:val="en-US" w:eastAsia="zh-CN"/>
              </w:rPr>
              <w:t>原因分析、</w:t>
            </w:r>
            <w:r>
              <w:rPr>
                <w:rFonts w:hint="eastAsia" w:ascii="Times New Roman" w:hAnsi="Times New Roman" w:cs="Times New Roman"/>
                <w:szCs w:val="21"/>
              </w:rPr>
              <w:t>纠正措施</w:t>
            </w:r>
            <w:r>
              <w:rPr>
                <w:rFonts w:hint="eastAsia" w:ascii="Times New Roman" w:hAnsi="Times New Roman" w:cs="Times New Roman"/>
                <w:szCs w:val="21"/>
                <w:lang w:eastAsia="zh-CN"/>
              </w:rPr>
              <w:t>的</w:t>
            </w:r>
            <w:r>
              <w:rPr>
                <w:rFonts w:hint="eastAsia" w:ascii="Times New Roman" w:hAnsi="Times New Roman" w:cs="Times New Roman"/>
                <w:szCs w:val="21"/>
                <w:lang w:val="en-US" w:eastAsia="zh-CN"/>
              </w:rPr>
              <w:t>确定、</w:t>
            </w:r>
            <w:r>
              <w:rPr>
                <w:rFonts w:hint="eastAsia" w:ascii="Times New Roman" w:hAnsi="Times New Roman" w:cs="Times New Roman"/>
                <w:szCs w:val="21"/>
              </w:rPr>
              <w:t>验证</w:t>
            </w:r>
            <w:r>
              <w:rPr>
                <w:rFonts w:hint="eastAsia" w:ascii="Times New Roman" w:hAnsi="Times New Roman" w:cs="Times New Roman"/>
                <w:szCs w:val="21"/>
                <w:lang w:val="en-US" w:eastAsia="zh-CN"/>
              </w:rPr>
              <w:t>以及</w:t>
            </w:r>
            <w:r>
              <w:rPr>
                <w:rFonts w:hint="eastAsia" w:ascii="Times New Roman" w:hAnsi="Times New Roman" w:cs="Times New Roman"/>
                <w:szCs w:val="21"/>
              </w:rPr>
              <w:t xml:space="preserve">事故事件报告、调查、处理等作了规定，其内容符合组织实际及标准要求。 </w:t>
            </w:r>
          </w:p>
          <w:p>
            <w:pPr>
              <w:spacing w:line="280" w:lineRule="exact"/>
              <w:ind w:firstLine="420" w:firstLineChars="200"/>
              <w:rPr>
                <w:rFonts w:hint="eastAsia"/>
                <w:szCs w:val="21"/>
                <w:lang w:val="en-US" w:eastAsia="zh-CN"/>
              </w:rPr>
            </w:pPr>
            <w:r>
              <w:rPr>
                <w:rFonts w:hint="eastAsia" w:ascii="Times New Roman" w:hAnsi="Times New Roman" w:cs="Times New Roman"/>
                <w:szCs w:val="21"/>
              </w:rPr>
              <w:t>近一年体系运行以来</w:t>
            </w:r>
            <w:r>
              <w:rPr>
                <w:rFonts w:hint="eastAsia" w:cs="Times New Roman"/>
                <w:szCs w:val="21"/>
                <w:lang w:val="en-US" w:eastAsia="zh-CN"/>
              </w:rPr>
              <w:t>组织</w:t>
            </w:r>
            <w:r>
              <w:rPr>
                <w:rFonts w:hint="eastAsia" w:ascii="Times New Roman" w:hAnsi="Times New Roman" w:cs="Times New Roman"/>
                <w:szCs w:val="21"/>
              </w:rPr>
              <w:t>按照</w:t>
            </w:r>
            <w:r>
              <w:rPr>
                <w:rFonts w:hint="eastAsia" w:cs="Times New Roman"/>
                <w:szCs w:val="21"/>
                <w:lang w:val="en-US" w:eastAsia="zh-CN"/>
              </w:rPr>
              <w:t>标准</w:t>
            </w:r>
            <w:r>
              <w:rPr>
                <w:rFonts w:hint="eastAsia" w:ascii="Times New Roman" w:hAnsi="Times New Roman" w:cs="Times New Roman"/>
                <w:szCs w:val="21"/>
              </w:rPr>
              <w:t>的要求，通过制定运行控制程序、</w:t>
            </w:r>
            <w:r>
              <w:rPr>
                <w:rFonts w:hint="eastAsia" w:cs="Times New Roman"/>
                <w:szCs w:val="21"/>
                <w:lang w:val="en-US" w:eastAsia="zh-CN"/>
              </w:rPr>
              <w:t>操作规程</w:t>
            </w:r>
            <w:r>
              <w:rPr>
                <w:rFonts w:hint="eastAsia" w:cs="Times New Roman"/>
                <w:szCs w:val="21"/>
                <w:lang w:eastAsia="zh-CN"/>
              </w:rPr>
              <w:t>，</w:t>
            </w:r>
            <w:r>
              <w:rPr>
                <w:rFonts w:hint="eastAsia" w:ascii="Times New Roman" w:hAnsi="Times New Roman" w:cs="Times New Roman"/>
                <w:szCs w:val="21"/>
              </w:rPr>
              <w:t>加强培训，</w:t>
            </w:r>
            <w:r>
              <w:rPr>
                <w:rFonts w:hint="eastAsia" w:cs="Times New Roman"/>
                <w:szCs w:val="21"/>
                <w:lang w:val="en-US" w:eastAsia="zh-CN"/>
              </w:rPr>
              <w:t>结合内审和管理评审</w:t>
            </w:r>
            <w:r>
              <w:rPr>
                <w:rFonts w:hint="eastAsia" w:ascii="Times New Roman" w:hAnsi="Times New Roman" w:cs="Times New Roman"/>
                <w:szCs w:val="21"/>
              </w:rPr>
              <w:t>等方式采取预防措施，防止不符合的发生，不符合得到了有效控制，人员环保、安全意识有了明显提高，</w:t>
            </w:r>
            <w:r>
              <w:rPr>
                <w:rFonts w:hint="eastAsia" w:cs="Times New Roman"/>
                <w:szCs w:val="21"/>
                <w:lang w:val="en-US" w:eastAsia="zh-CN"/>
              </w:rPr>
              <w:t>未</w:t>
            </w:r>
            <w:r>
              <w:rPr>
                <w:rFonts w:hint="eastAsia" w:ascii="Times New Roman" w:hAnsi="Times New Roman" w:cs="Times New Roman"/>
                <w:szCs w:val="21"/>
              </w:rPr>
              <w:t>发生重大</w:t>
            </w:r>
            <w:r>
              <w:rPr>
                <w:rFonts w:hint="eastAsia" w:cs="Times New Roman"/>
                <w:szCs w:val="21"/>
                <w:lang w:val="en-US" w:eastAsia="zh-CN"/>
              </w:rPr>
              <w:t>环境和安全</w:t>
            </w:r>
            <w:r>
              <w:rPr>
                <w:rFonts w:hint="eastAsia" w:ascii="Times New Roman" w:hAnsi="Times New Roman" w:cs="Times New Roman"/>
                <w:szCs w:val="21"/>
              </w:rPr>
              <w:t>事故</w:t>
            </w:r>
            <w:r>
              <w:rPr>
                <w:rFonts w:hint="eastAsia" w:cs="Times New Roman"/>
                <w:szCs w:val="21"/>
                <w:lang w:val="en-US" w:eastAsia="zh-CN"/>
              </w:rPr>
              <w:t>以及</w:t>
            </w:r>
            <w:r>
              <w:rPr>
                <w:rFonts w:hint="eastAsia" w:ascii="Times New Roman" w:hAnsi="Times New Roman" w:cs="Times New Roman"/>
                <w:szCs w:val="21"/>
              </w:rPr>
              <w:t>投诉处罚</w:t>
            </w:r>
            <w:r>
              <w:rPr>
                <w:rFonts w:hint="eastAsia" w:cs="Times New Roman"/>
                <w:szCs w:val="21"/>
                <w:lang w:val="en-US" w:eastAsia="zh-CN"/>
              </w:rPr>
              <w:t>等</w:t>
            </w:r>
            <w:r>
              <w:rPr>
                <w:rFonts w:hint="eastAsia" w:cs="Times New Roman"/>
                <w:szCs w:val="21"/>
                <w:lang w:eastAsia="zh-CN"/>
              </w:rPr>
              <w:t>。</w:t>
            </w:r>
          </w:p>
        </w:tc>
        <w:tc>
          <w:tcPr>
            <w:tcW w:w="1585" w:type="dxa"/>
          </w:tcPr>
          <w:p>
            <w:pPr>
              <w:rPr>
                <w:rFonts w:hint="default"/>
                <w:lang w:val="en-US" w:eastAsia="zh-CN"/>
              </w:rPr>
            </w:pPr>
            <w:r>
              <w:rPr>
                <w:rFonts w:hint="eastAsia"/>
                <w:lang w:val="en-US" w:eastAsia="zh-CN"/>
              </w:rPr>
              <w:t>Y</w:t>
            </w:r>
          </w:p>
        </w:tc>
      </w:tr>
    </w:tbl>
    <w:p>
      <w:r>
        <w:rPr>
          <w:rFonts w:hint="eastAsia"/>
          <w:lang w:val="en-US" w:eastAsia="zh-CN"/>
        </w:rPr>
        <w:t>说</w:t>
      </w:r>
      <w:r>
        <w:rPr>
          <w:rFonts w:hint="eastAsia"/>
        </w:rPr>
        <w:t>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000000"/>
    <w:rsid w:val="01470799"/>
    <w:rsid w:val="01695955"/>
    <w:rsid w:val="03732BA6"/>
    <w:rsid w:val="05551D4C"/>
    <w:rsid w:val="060043AE"/>
    <w:rsid w:val="08DF02AB"/>
    <w:rsid w:val="098D7D07"/>
    <w:rsid w:val="09BD49D9"/>
    <w:rsid w:val="0A7E5C22"/>
    <w:rsid w:val="0ADD081A"/>
    <w:rsid w:val="0BE40501"/>
    <w:rsid w:val="0C27466A"/>
    <w:rsid w:val="0CCC6D98"/>
    <w:rsid w:val="0DD41DEC"/>
    <w:rsid w:val="0E5306B0"/>
    <w:rsid w:val="0EA539D7"/>
    <w:rsid w:val="116114CF"/>
    <w:rsid w:val="11D07A25"/>
    <w:rsid w:val="130D010A"/>
    <w:rsid w:val="139F6D7C"/>
    <w:rsid w:val="14186D67"/>
    <w:rsid w:val="141F1EA3"/>
    <w:rsid w:val="148E25FB"/>
    <w:rsid w:val="14910533"/>
    <w:rsid w:val="14A44FB8"/>
    <w:rsid w:val="15196AB7"/>
    <w:rsid w:val="154D1B14"/>
    <w:rsid w:val="15F80BFE"/>
    <w:rsid w:val="16282DBB"/>
    <w:rsid w:val="179C6865"/>
    <w:rsid w:val="17DD454F"/>
    <w:rsid w:val="1C821221"/>
    <w:rsid w:val="1E4C7D38"/>
    <w:rsid w:val="1EAA4A5F"/>
    <w:rsid w:val="205A49AA"/>
    <w:rsid w:val="21977533"/>
    <w:rsid w:val="225E0142"/>
    <w:rsid w:val="226703BD"/>
    <w:rsid w:val="243D130C"/>
    <w:rsid w:val="24DD793C"/>
    <w:rsid w:val="25B56073"/>
    <w:rsid w:val="25F93317"/>
    <w:rsid w:val="26663961"/>
    <w:rsid w:val="28373807"/>
    <w:rsid w:val="287158E1"/>
    <w:rsid w:val="2A1C0F07"/>
    <w:rsid w:val="2AB923A2"/>
    <w:rsid w:val="2AC0755D"/>
    <w:rsid w:val="2DDF4725"/>
    <w:rsid w:val="30D86B30"/>
    <w:rsid w:val="317A6513"/>
    <w:rsid w:val="33184235"/>
    <w:rsid w:val="33AA1331"/>
    <w:rsid w:val="34B51A3C"/>
    <w:rsid w:val="34F36D08"/>
    <w:rsid w:val="369D34F2"/>
    <w:rsid w:val="38832151"/>
    <w:rsid w:val="3BB66332"/>
    <w:rsid w:val="3C345B6C"/>
    <w:rsid w:val="3CF5326E"/>
    <w:rsid w:val="3D8F3346"/>
    <w:rsid w:val="3E3526FF"/>
    <w:rsid w:val="3ED739B3"/>
    <w:rsid w:val="3FB7419F"/>
    <w:rsid w:val="4144322E"/>
    <w:rsid w:val="42B60C1B"/>
    <w:rsid w:val="4391606A"/>
    <w:rsid w:val="479D7B6D"/>
    <w:rsid w:val="496918B0"/>
    <w:rsid w:val="4A7B39D0"/>
    <w:rsid w:val="4AAE12AF"/>
    <w:rsid w:val="515F3303"/>
    <w:rsid w:val="52E3230E"/>
    <w:rsid w:val="541C536D"/>
    <w:rsid w:val="55A974D1"/>
    <w:rsid w:val="55D67312"/>
    <w:rsid w:val="56341C1D"/>
    <w:rsid w:val="567A12BE"/>
    <w:rsid w:val="592E6F15"/>
    <w:rsid w:val="5B8F47E5"/>
    <w:rsid w:val="5C357C0E"/>
    <w:rsid w:val="5DA052A8"/>
    <w:rsid w:val="5E0B4267"/>
    <w:rsid w:val="5E272947"/>
    <w:rsid w:val="5F1C46C4"/>
    <w:rsid w:val="60C767CF"/>
    <w:rsid w:val="60FA6BA5"/>
    <w:rsid w:val="63C87650"/>
    <w:rsid w:val="67423054"/>
    <w:rsid w:val="677166C6"/>
    <w:rsid w:val="6858470E"/>
    <w:rsid w:val="68863414"/>
    <w:rsid w:val="68E00D76"/>
    <w:rsid w:val="6C5C11C9"/>
    <w:rsid w:val="6D0112BB"/>
    <w:rsid w:val="6D547772"/>
    <w:rsid w:val="6F086EBE"/>
    <w:rsid w:val="706758D9"/>
    <w:rsid w:val="71F4319C"/>
    <w:rsid w:val="736752DF"/>
    <w:rsid w:val="73C73BBB"/>
    <w:rsid w:val="74485A21"/>
    <w:rsid w:val="768574CD"/>
    <w:rsid w:val="78615304"/>
    <w:rsid w:val="78BF6934"/>
    <w:rsid w:val="79B60BF1"/>
    <w:rsid w:val="79BD71CD"/>
    <w:rsid w:val="7AED2E7F"/>
    <w:rsid w:val="7AFD57B8"/>
    <w:rsid w:val="7B292109"/>
    <w:rsid w:val="7B4C229B"/>
    <w:rsid w:val="7C3A12F7"/>
    <w:rsid w:val="7F394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4">
    <w:name w:val="Body Text Indent"/>
    <w:basedOn w:val="1"/>
    <w:qFormat/>
    <w:uiPriority w:val="0"/>
    <w:pPr>
      <w:ind w:left="360"/>
    </w:pPr>
    <w:rPr>
      <w:sz w:val="2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paragraph" w:customStyle="1" w:styleId="16">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2740</Words>
  <Characters>3045</Characters>
  <Lines>1</Lines>
  <Paragraphs>1</Paragraphs>
  <TotalTime>1</TotalTime>
  <ScaleCrop>false</ScaleCrop>
  <LinksUpToDate>false</LinksUpToDate>
  <CharactersWithSpaces>3212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2022-11-04T02:18:43Z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