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保安部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主管领导：</w:t>
            </w:r>
            <w:bookmarkStart w:id="1" w:name="_GoBack"/>
            <w:bookmarkEnd w:id="1"/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关永杰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黄妍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林兵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2022年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日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保安部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1.部门职责与权限；2.目标在职责范围内的分解落实情况；3.保安部作业准则及其运行记录总体情况；4.不合格服务的纠正及其纠正措施；5.顾客满意情况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5.3、6.2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8.6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8.7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/10.2、9.1.2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部门职责与权限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审核了解到，保安部主要负责安保服务的质量管理工作。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从保安部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关永杰处了解到，其对职责内容基本清楚，与手册描述基本一致，符合要求。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目标在职责范围内的分解落实情况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6.2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审核发现，涉及保安部的QEO目标分解落实情况如下：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1.消防设备检查率≥100%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2.应急演习执行率≥100%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3.重大危险伤害事故≤1起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目标可测量，与组织方针一致。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抽查近一年的部门目标分解落实情况，均达成，基本符合监视要求。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活动准则及其运行控制总体情况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编制了与质量管理体系运行控制有关的准则文件，包括《品质作业指导手》，涉及保安部的卷宗内容包括《岗位行为规范制度》、《岗位操作标准》、《岗位SOP流程》、《保安员奖惩制度》、《保安员使用表单》、《应急手册》等，基本能够满足职责范围内过程的控制策划要求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保安部根据自身职责和指导书要求制定了项目上检查用的一级（季度）《秩序管理部检查方法及评分标准》等标准，形成了相应的检查记录记录，基本能够按照上述准则要求实施职责过程，符合要求。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保安部除人力资源和办公资源外，对其它资源无特殊要求。近一年，相应的过程准则文件及作业标准未发生变化，无变更记录。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具体过程运行控制情况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lang w:val="en-US" w:eastAsia="zh-CN"/>
              </w:rPr>
              <w:t>8.5.1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保安部配备管理人员1名，各项目配根据业主需求可配置安保人员，人员配置及其能力基本能满足岗位要求。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保安部负责人关永杰表示，保安部工作内容主要是门岗、守卫、巡逻、安全检查等方面的品质考核。其中服务质量检查为保安部主要的监视和测量方式。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保安部根据Q8.1准则文件，在日常监视和测量工作中形成了一系列记录文件：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抽查2022.3.22</w:t>
            </w:r>
            <w:r>
              <w:rPr>
                <w:rFonts w:hint="eastAsia"/>
                <w:color w:val="auto"/>
                <w:lang w:val="en-US" w:eastAsia="zh-CN"/>
              </w:rPr>
              <w:t>和2022年6月</w:t>
            </w:r>
            <w:r>
              <w:rPr>
                <w:rFonts w:hint="eastAsia"/>
                <w:lang w:val="en-US" w:eastAsia="zh-CN"/>
              </w:rPr>
              <w:t>民泰银行的一级检查记录分别如下：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秩序管理部检查方法及评分标准》：检查内容包括仪容仪表、工作环境、工作记录及存档资料、门岗、巡逻岗、监控岗、消防安全、安防管理等；检查评价得分93.84（满分100分）；项目负责人：朱*成；检查人：关永杰。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《秩序管理部检查方法及评分标准》：检查内容包括仪容仪表、工作环境、工作记录及存档资料、门岗、巡逻岗、监控岗、消防安全、安防管理等；检查评价得</w:t>
            </w:r>
            <w:r>
              <w:rPr>
                <w:rFonts w:hint="eastAsia"/>
                <w:color w:val="auto"/>
                <w:lang w:val="en-US" w:eastAsia="zh-CN"/>
              </w:rPr>
              <w:t>分90.5（满分100分）；项目负责人：朱*成；检查人：关永杰。</w:t>
            </w:r>
          </w:p>
          <w:p>
            <w:p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抽查2022.3.10和2022年6月杭州国际创意中心（ICC）的一级检查记录分别如下：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秩序管理部检查方法及评分标准》：检查内容包括仪容仪表、工作环境、工作记录及存档资料、门岗、巡逻岗、监控岗、消防安全、安防管理等；检查评价得分90（满分100分）；项目负责人：梁*超；检查人：关永杰。</w:t>
            </w:r>
          </w:p>
          <w:p>
            <w:pPr>
              <w:pStyle w:val="2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秩序管理部检查方法及评分标准》：检查内容包括仪容仪表、工作环境、工作记录及存档资料、门岗、巡逻岗、监控岗、消防安全、安防管理等；检查评价得分9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lang w:val="en-US" w:eastAsia="zh-CN" w:bidi="ar-SA"/>
              </w:rPr>
              <w:t>（满</w:t>
            </w:r>
            <w:r>
              <w:rPr>
                <w:rFonts w:hint="eastAsia" w:ascii="Times New Roman" w:hAnsi="Times New Roman" w:eastAsia="华文细黑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分100分）；项目负责人：朱*成；检查人：关永杰。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服务交付以及不合格的纠正和纠正措施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8.6/8.7/10.2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default" w:ascii="Times New Roman" w:hAnsi="Times New Roman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保安部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主要通过</w:t>
            </w:r>
            <w:r>
              <w:rPr>
                <w:rFonts w:hint="eastAsia"/>
                <w:color w:val="auto"/>
                <w:lang w:val="en-US" w:eastAsia="zh-CN"/>
              </w:rPr>
              <w:t>一级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检查</w:t>
            </w:r>
            <w:r>
              <w:rPr>
                <w:rFonts w:hint="eastAsia"/>
                <w:color w:val="auto"/>
                <w:lang w:val="en-US" w:eastAsia="zh-CN"/>
              </w:rPr>
              <w:t>（频率：季度）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等方式，对</w:t>
            </w:r>
            <w:r>
              <w:rPr>
                <w:rFonts w:hint="eastAsia"/>
                <w:color w:val="auto"/>
                <w:lang w:val="en-US" w:eastAsia="zh-CN"/>
              </w:rPr>
              <w:t>项目上的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物业服务提供过程进行检查和监督，以确保服务提供符合顾客的要求。针对发现的不合格服务，组织在通过</w:t>
            </w:r>
            <w:r>
              <w:rPr>
                <w:rFonts w:hint="eastAsia"/>
                <w:color w:val="auto"/>
                <w:lang w:val="en-US" w:eastAsia="zh-CN"/>
              </w:rPr>
              <w:t>钉钉办公流程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提出整改的基础上，要求提出后续</w:t>
            </w:r>
            <w:r>
              <w:rPr>
                <w:rFonts w:hint="eastAsia"/>
                <w:color w:val="auto"/>
                <w:lang w:val="en-US" w:eastAsia="zh-CN"/>
              </w:rPr>
              <w:t>纠正成果及纠正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措施。</w:t>
            </w:r>
          </w:p>
          <w:p>
            <w:pPr>
              <w:ind w:firstLine="420" w:firstLineChars="20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抽查</w:t>
            </w:r>
            <w:r>
              <w:rPr>
                <w:rFonts w:hint="eastAsia"/>
                <w:color w:val="auto"/>
                <w:lang w:val="en-US" w:eastAsia="zh-CN"/>
              </w:rPr>
              <w:t>民泰银行3月份和6月份问题整改记录：①问题内容：制服下摆外漏；整改意见：仪容整洁、下摆不能外漏；当场整改；时间2022.3.22；②问题内容：现场演练灭火器使用不规范；整改意见：加强培训学习；时间2022.3.22；③问题内容：灭火器操作不熟悉；整改意见：加强培训学习；时间：2022.6.20。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抽查</w:t>
            </w:r>
            <w:r>
              <w:rPr>
                <w:rFonts w:hint="eastAsia"/>
                <w:color w:val="auto"/>
                <w:lang w:val="en-US" w:eastAsia="zh-CN"/>
              </w:rPr>
              <w:t>杭州国际创意中心（ICC）3月份和6月份问题整改馈记录：①问题内容：培训记录不完整，无法追溯；整改意见：补充、完善记录，当场整改；时间2022.3.10；②问题内容：未对可疑人员进行盘查；整改意见：加强培训学习；时间2022.3.10；③问题内容：培训记录不齐全；整改见：补充、完善记录，当场整改；时间：2022.6.20。</w:t>
            </w:r>
          </w:p>
          <w:p>
            <w:p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在项目检查、整改过程中遇到原因不易分析的重难点问题，保安部会根据具体情况实施帮扶行动，寻找问题根本点，助力系统性彻底解决，基本满足纠正措施的要求。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color w:val="0000FF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综上，基本符合纠正及纠正措施的要求。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顾客满意监视情况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Q9.1.2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组织主要采用调查问卷的方式监视业主的满意情况，保安部再根据业主的满意情况量化满意度，以此为项目考核的重要参考维度。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《业主委员会满意度调查问卷》：调查项类别包括安保质量、仪容仪表、日常巡查等，调查选项分很满意、满意、一般和不满意四个维度；保安部根据满意选项勾选情况量化统计满意度。抽查2022.7.16杭州市东郊监狱等的的满意度调查问卷及其统计结果：无不满意勾选项，同等量化评分为96.5%。</w:t>
            </w:r>
          </w:p>
          <w:p>
            <w:p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综上，组织的顾客满意情况监视符合标准的要求。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  <w:lang w:val="en-US" w:eastAsia="zh-CN"/>
        </w:rPr>
        <w:t>说</w:t>
      </w:r>
      <w:r>
        <w:rPr>
          <w:rFonts w:hint="eastAsia"/>
        </w:rPr>
        <w:t>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052CD3"/>
    <w:rsid w:val="003F5DF5"/>
    <w:rsid w:val="009B468A"/>
    <w:rsid w:val="015772A4"/>
    <w:rsid w:val="02B648EF"/>
    <w:rsid w:val="03732BA6"/>
    <w:rsid w:val="03E0081D"/>
    <w:rsid w:val="04054589"/>
    <w:rsid w:val="04362484"/>
    <w:rsid w:val="047168CE"/>
    <w:rsid w:val="0576333E"/>
    <w:rsid w:val="061E4834"/>
    <w:rsid w:val="06432B56"/>
    <w:rsid w:val="071B18BB"/>
    <w:rsid w:val="075259A6"/>
    <w:rsid w:val="07F57895"/>
    <w:rsid w:val="083C51B6"/>
    <w:rsid w:val="08DF02AB"/>
    <w:rsid w:val="094D790A"/>
    <w:rsid w:val="09574568"/>
    <w:rsid w:val="098D7D07"/>
    <w:rsid w:val="09CF099C"/>
    <w:rsid w:val="09F75AC8"/>
    <w:rsid w:val="0A773839"/>
    <w:rsid w:val="0AB85257"/>
    <w:rsid w:val="0ADD081A"/>
    <w:rsid w:val="0B114967"/>
    <w:rsid w:val="0BEB51B8"/>
    <w:rsid w:val="0C94408B"/>
    <w:rsid w:val="0CC36B31"/>
    <w:rsid w:val="0D305579"/>
    <w:rsid w:val="0D52736E"/>
    <w:rsid w:val="0D91446E"/>
    <w:rsid w:val="0E652AC5"/>
    <w:rsid w:val="0F5B408E"/>
    <w:rsid w:val="10103CDE"/>
    <w:rsid w:val="10423BF8"/>
    <w:rsid w:val="10D47789"/>
    <w:rsid w:val="116A6839"/>
    <w:rsid w:val="11CC7B2B"/>
    <w:rsid w:val="128E47B9"/>
    <w:rsid w:val="12B427A8"/>
    <w:rsid w:val="12B55819"/>
    <w:rsid w:val="135B36C0"/>
    <w:rsid w:val="14910533"/>
    <w:rsid w:val="15A45032"/>
    <w:rsid w:val="15A96116"/>
    <w:rsid w:val="15B23376"/>
    <w:rsid w:val="16612C47"/>
    <w:rsid w:val="17F84EE5"/>
    <w:rsid w:val="184A4427"/>
    <w:rsid w:val="18D45952"/>
    <w:rsid w:val="196D6140"/>
    <w:rsid w:val="19923117"/>
    <w:rsid w:val="19F841F0"/>
    <w:rsid w:val="1B7241C4"/>
    <w:rsid w:val="1B9969DF"/>
    <w:rsid w:val="1BD40DED"/>
    <w:rsid w:val="1BF9747E"/>
    <w:rsid w:val="1C273F78"/>
    <w:rsid w:val="1DFD647E"/>
    <w:rsid w:val="1E4C7D38"/>
    <w:rsid w:val="1EAA4A5F"/>
    <w:rsid w:val="1F26058A"/>
    <w:rsid w:val="1F2B5BA0"/>
    <w:rsid w:val="205A49AA"/>
    <w:rsid w:val="219138DE"/>
    <w:rsid w:val="21ED35E0"/>
    <w:rsid w:val="226C6BFB"/>
    <w:rsid w:val="22C41308"/>
    <w:rsid w:val="22DD1EAF"/>
    <w:rsid w:val="22E310A1"/>
    <w:rsid w:val="22E542B8"/>
    <w:rsid w:val="2335523F"/>
    <w:rsid w:val="25796751"/>
    <w:rsid w:val="25B56073"/>
    <w:rsid w:val="25F93317"/>
    <w:rsid w:val="260B672B"/>
    <w:rsid w:val="26663961"/>
    <w:rsid w:val="269A41CC"/>
    <w:rsid w:val="26BD5EFD"/>
    <w:rsid w:val="276C5CB3"/>
    <w:rsid w:val="287158E1"/>
    <w:rsid w:val="28A6098D"/>
    <w:rsid w:val="28F42E06"/>
    <w:rsid w:val="28F827CB"/>
    <w:rsid w:val="297D12CC"/>
    <w:rsid w:val="2A1C0F07"/>
    <w:rsid w:val="2A557F75"/>
    <w:rsid w:val="2A8E5B5E"/>
    <w:rsid w:val="2BE74A0B"/>
    <w:rsid w:val="2C2422F5"/>
    <w:rsid w:val="2C7843EE"/>
    <w:rsid w:val="2C842D93"/>
    <w:rsid w:val="2C8F634D"/>
    <w:rsid w:val="2E4A7CF3"/>
    <w:rsid w:val="2E9160FE"/>
    <w:rsid w:val="2E960B5C"/>
    <w:rsid w:val="2F1E127D"/>
    <w:rsid w:val="2F94493E"/>
    <w:rsid w:val="2FBD0A96"/>
    <w:rsid w:val="3002294D"/>
    <w:rsid w:val="30197C97"/>
    <w:rsid w:val="31563F8A"/>
    <w:rsid w:val="322737C6"/>
    <w:rsid w:val="329F0927"/>
    <w:rsid w:val="33184235"/>
    <w:rsid w:val="33C64F3F"/>
    <w:rsid w:val="348F0527"/>
    <w:rsid w:val="34A22009"/>
    <w:rsid w:val="34A9783B"/>
    <w:rsid w:val="34F36D08"/>
    <w:rsid w:val="369D34F2"/>
    <w:rsid w:val="377063EE"/>
    <w:rsid w:val="38A2594B"/>
    <w:rsid w:val="3ACF5B21"/>
    <w:rsid w:val="3B0C23D7"/>
    <w:rsid w:val="3BC12129"/>
    <w:rsid w:val="3C345B6C"/>
    <w:rsid w:val="3CF5326E"/>
    <w:rsid w:val="3D4445A5"/>
    <w:rsid w:val="3D8F3346"/>
    <w:rsid w:val="3DAB4624"/>
    <w:rsid w:val="3FB7419F"/>
    <w:rsid w:val="4004001B"/>
    <w:rsid w:val="405915D5"/>
    <w:rsid w:val="409C64A6"/>
    <w:rsid w:val="4144322E"/>
    <w:rsid w:val="42B60C1B"/>
    <w:rsid w:val="42D27F5D"/>
    <w:rsid w:val="43866F99"/>
    <w:rsid w:val="445B16DE"/>
    <w:rsid w:val="44957B12"/>
    <w:rsid w:val="45913DA6"/>
    <w:rsid w:val="46A14816"/>
    <w:rsid w:val="46BD29DE"/>
    <w:rsid w:val="47925F0D"/>
    <w:rsid w:val="480424E5"/>
    <w:rsid w:val="481D7ECC"/>
    <w:rsid w:val="48276F9D"/>
    <w:rsid w:val="4885197F"/>
    <w:rsid w:val="4A4229F0"/>
    <w:rsid w:val="4B0D4E47"/>
    <w:rsid w:val="4B1D6435"/>
    <w:rsid w:val="4B756271"/>
    <w:rsid w:val="4BEE209A"/>
    <w:rsid w:val="4CE81047"/>
    <w:rsid w:val="4F987FE7"/>
    <w:rsid w:val="500D0F43"/>
    <w:rsid w:val="509338FE"/>
    <w:rsid w:val="50C57353"/>
    <w:rsid w:val="50D33552"/>
    <w:rsid w:val="50DD1B6F"/>
    <w:rsid w:val="515F3303"/>
    <w:rsid w:val="521356A1"/>
    <w:rsid w:val="52354345"/>
    <w:rsid w:val="529F0D75"/>
    <w:rsid w:val="52C368CB"/>
    <w:rsid w:val="536D145D"/>
    <w:rsid w:val="55102B67"/>
    <w:rsid w:val="5527238A"/>
    <w:rsid w:val="552B60F6"/>
    <w:rsid w:val="55A05F59"/>
    <w:rsid w:val="55FC3817"/>
    <w:rsid w:val="56187F25"/>
    <w:rsid w:val="56341C1D"/>
    <w:rsid w:val="591A2160"/>
    <w:rsid w:val="598853C1"/>
    <w:rsid w:val="5A3E02F5"/>
    <w:rsid w:val="5A76552B"/>
    <w:rsid w:val="5A9658BC"/>
    <w:rsid w:val="5BD14DFE"/>
    <w:rsid w:val="5C0F5926"/>
    <w:rsid w:val="5C357C0E"/>
    <w:rsid w:val="5C855BE8"/>
    <w:rsid w:val="5CAF25EE"/>
    <w:rsid w:val="5D1D6189"/>
    <w:rsid w:val="5D281324"/>
    <w:rsid w:val="5DA052A8"/>
    <w:rsid w:val="5E055540"/>
    <w:rsid w:val="5E0B4267"/>
    <w:rsid w:val="5E756350"/>
    <w:rsid w:val="5EE46AC4"/>
    <w:rsid w:val="5F667893"/>
    <w:rsid w:val="608F64C3"/>
    <w:rsid w:val="61023CAB"/>
    <w:rsid w:val="617A1A94"/>
    <w:rsid w:val="62707047"/>
    <w:rsid w:val="62FF179E"/>
    <w:rsid w:val="63C11BFC"/>
    <w:rsid w:val="651C2C2E"/>
    <w:rsid w:val="658613D9"/>
    <w:rsid w:val="6672542F"/>
    <w:rsid w:val="66B43C9A"/>
    <w:rsid w:val="6759221E"/>
    <w:rsid w:val="67830E4D"/>
    <w:rsid w:val="68761DA1"/>
    <w:rsid w:val="68880F3A"/>
    <w:rsid w:val="688D47A2"/>
    <w:rsid w:val="689413D5"/>
    <w:rsid w:val="68C305E8"/>
    <w:rsid w:val="68F61E52"/>
    <w:rsid w:val="691579EA"/>
    <w:rsid w:val="69430AB7"/>
    <w:rsid w:val="6A246A40"/>
    <w:rsid w:val="6A452A79"/>
    <w:rsid w:val="6BB72FC4"/>
    <w:rsid w:val="6BC350F9"/>
    <w:rsid w:val="6C0D3019"/>
    <w:rsid w:val="6C6B54E9"/>
    <w:rsid w:val="6C991968"/>
    <w:rsid w:val="6CE72419"/>
    <w:rsid w:val="6D3F5E7A"/>
    <w:rsid w:val="6D640876"/>
    <w:rsid w:val="6D8343C6"/>
    <w:rsid w:val="6D9D6558"/>
    <w:rsid w:val="6DD24183"/>
    <w:rsid w:val="6DF71DFC"/>
    <w:rsid w:val="6E2039C3"/>
    <w:rsid w:val="6F433C72"/>
    <w:rsid w:val="6F4B2CC1"/>
    <w:rsid w:val="700A6939"/>
    <w:rsid w:val="703C3120"/>
    <w:rsid w:val="70BB7C71"/>
    <w:rsid w:val="72C830E4"/>
    <w:rsid w:val="7423420D"/>
    <w:rsid w:val="74B44E65"/>
    <w:rsid w:val="75B72DB3"/>
    <w:rsid w:val="761C1A08"/>
    <w:rsid w:val="76E54ED0"/>
    <w:rsid w:val="777F0DB7"/>
    <w:rsid w:val="77943778"/>
    <w:rsid w:val="795135CA"/>
    <w:rsid w:val="79767E48"/>
    <w:rsid w:val="79B60BF1"/>
    <w:rsid w:val="79BE6599"/>
    <w:rsid w:val="79F45454"/>
    <w:rsid w:val="7AFD57B8"/>
    <w:rsid w:val="7C572CA5"/>
    <w:rsid w:val="7C5F7DAC"/>
    <w:rsid w:val="7CEC1406"/>
    <w:rsid w:val="7D711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二级条标题"/>
    <w:basedOn w:val="14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4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8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2022-11-03T08:00:43Z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