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华文细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行政管理中心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梅弘；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="华文细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sz w:val="21"/>
                <w:szCs w:val="21"/>
              </w:rPr>
              <w:t>2022年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日</w:t>
            </w:r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1.部门职责与权限；2.目标在职责范围内的分解落实情况；3.环境因素和危险源的汇总管理；4.合规义务监视与合规性评价；5.环境与安全控制准则及其运行记录总体情况；6.应急准备和响应。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 xml:space="preserve"> 5.3、6.2</w:t>
            </w:r>
          </w:p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EO：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6.1.3/9.1.2、8.1、8.2</w:t>
            </w:r>
            <w:r>
              <w:rPr>
                <w:rFonts w:hint="eastAsia" w:ascii="华文细黑" w:hAnsi="华文细黑" w:cs="华文细黑"/>
                <w:sz w:val="21"/>
                <w:szCs w:val="21"/>
                <w:highlight w:val="none"/>
                <w:lang w:val="en-US" w:eastAsia="zh-CN"/>
              </w:rPr>
              <w:t>、10.2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部门职责与权限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组织在手册中确定了行政管理中心的职能，人员职责、权限和相互关系。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行政管理中心职责如下：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⑴ 负责法律法规和相关要求、相关方的归口管理与控制；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⑵ 负责文件、记录的控制；负责公司人员培训意识和能力的归口管理与控制；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bookmarkStart w:id="1" w:name="OLE_LINK18"/>
            <w:r>
              <w:rPr>
                <w:rFonts w:hint="eastAsia"/>
                <w:lang w:val="en-US" w:eastAsia="zh-CN"/>
              </w:rPr>
              <w:t xml:space="preserve">⑶ </w:t>
            </w:r>
            <w:bookmarkEnd w:id="1"/>
            <w:r>
              <w:rPr>
                <w:rFonts w:hint="eastAsia"/>
                <w:lang w:val="en-US" w:eastAsia="zh-CN"/>
              </w:rPr>
              <w:t xml:space="preserve">负责设备管理工作；降低设备能源的消耗，提高设备利用率等；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⑷ 负责工作环境、标识管理等；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⑸ 负责环境因素和风险的识别与评价及运行控制，应急准备与响应工作等；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= 6 \* GB2 \* MERGEFORMAT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⑹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 协助领导做好各类会议的会务工作和落实会议作出的各项决定，负责会议记录；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= 7 \* GB2 \* MERGEFORMAT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⑺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 协助和处理公司日常行政事务工作；负责重要来信来访的处理及信息沟通和协商等；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= 8 \* GB2 \* MERGEFORMAT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⑻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 协助体系推行人对目标指标、管理方案的实施进行监视和测量；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= 9 \* GB2 \* MERGEFORMAT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⑼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 配合做好内审和管理评审、做好纠正和预防措施等。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询问行政管理中心负责人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梅弘</w:t>
            </w:r>
            <w:r>
              <w:rPr>
                <w:rFonts w:hint="eastAsia"/>
                <w:lang w:val="en-US" w:eastAsia="zh-CN"/>
              </w:rPr>
              <w:t>，基本清楚其部门职责。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目标在职责范围内的分解落实情况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行政管理中心</w:t>
            </w:r>
            <w:r>
              <w:rPr>
                <w:rFonts w:hint="eastAsia"/>
                <w:szCs w:val="21"/>
              </w:rPr>
              <w:t>涉及的目标及实现情况</w:t>
            </w:r>
            <w:r>
              <w:rPr>
                <w:rFonts w:hint="eastAsia"/>
                <w:szCs w:val="21"/>
                <w:lang w:val="en-US" w:eastAsia="zh-CN"/>
              </w:rPr>
              <w:t>如下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培训教育按计划实施率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100%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特种人员持证上岗率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100%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文件受控管理率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100%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环境、职业健康安全运行检查合格率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≥95%量，与公司管理方针一致。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szCs w:val="21"/>
              </w:rPr>
              <w:t xml:space="preserve">有实施落实的方案， </w:t>
            </w:r>
            <w:r>
              <w:rPr>
                <w:rFonts w:hint="eastAsia"/>
                <w:szCs w:val="21"/>
                <w:lang w:val="en-US" w:eastAsia="zh-CN"/>
              </w:rPr>
              <w:t>截止审核期间的</w:t>
            </w:r>
            <w:r>
              <w:rPr>
                <w:rFonts w:hint="eastAsia"/>
                <w:szCs w:val="21"/>
              </w:rPr>
              <w:t>统计结果</w:t>
            </w:r>
            <w:r>
              <w:rPr>
                <w:rFonts w:hint="eastAsia"/>
                <w:szCs w:val="21"/>
                <w:lang w:val="en-US" w:eastAsia="zh-CN"/>
              </w:rPr>
              <w:t>显示</w:t>
            </w:r>
            <w:r>
              <w:rPr>
                <w:rFonts w:hint="eastAsia"/>
                <w:szCs w:val="21"/>
              </w:rPr>
              <w:t>，目标均已完成。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6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环境因素与危险源的辨识、评价与控制的汇总管理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EO6.1.2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组织根据手册第6.1.2条款、《环境因素识别与评价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程序》要求，由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行政管理中心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负责指导各部门环境因素的调查、评价、汇总、登记、审定及更新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各部门负责组织实施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行政管理中心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负责汇总整理。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查看组织《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环境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因素调查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》，组织在办公区、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服务场所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，按照活动过程调查、识别和确定了环境因素及其环境影响，对环境因素的状态进行评价，对应责任部门明确，有相应的保存期限、责任人和制定日期，基本满足环境因素识别、确定和保持要求。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组织按照《环境因素识别与评价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程序》准则确定了重要环境因素，抽查组织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2022.1.12更新确定的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重要环境因素清单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》内容如下：</w:t>
            </w:r>
          </w:p>
          <w:tbl>
            <w:tblPr>
              <w:tblStyle w:val="8"/>
              <w:tblW w:w="0" w:type="auto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6"/>
              <w:gridCol w:w="1084"/>
              <w:gridCol w:w="3361"/>
              <w:gridCol w:w="1180"/>
              <w:gridCol w:w="1160"/>
              <w:gridCol w:w="22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</w:trPr>
              <w:tc>
                <w:tcPr>
                  <w:tcW w:w="57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08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环境因素</w:t>
                  </w:r>
                </w:p>
              </w:tc>
              <w:tc>
                <w:tcPr>
                  <w:tcW w:w="3361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活动点/工序或部位</w:t>
                  </w: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环境影响</w:t>
                  </w:r>
                </w:p>
              </w:tc>
              <w:tc>
                <w:tcPr>
                  <w:tcW w:w="11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时态/状态</w:t>
                  </w:r>
                </w:p>
              </w:tc>
              <w:tc>
                <w:tcPr>
                  <w:tcW w:w="225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4" w:hRule="atLeast"/>
              </w:trPr>
              <w:tc>
                <w:tcPr>
                  <w:tcW w:w="57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8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污水排放</w:t>
                  </w: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清洗保洁工具、垃圾桶、车辆清洗等</w:t>
                  </w: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污染水体</w:t>
                  </w:r>
                </w:p>
              </w:tc>
              <w:tc>
                <w:tcPr>
                  <w:tcW w:w="11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225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6" w:hRule="atLeast"/>
              </w:trPr>
              <w:tc>
                <w:tcPr>
                  <w:tcW w:w="57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08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粉尘排放</w:t>
                  </w:r>
                </w:p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扬尘排放</w:t>
                  </w: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道路清扫</w:t>
                  </w: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污染大气、影响居民身体健康</w:t>
                  </w:r>
                </w:p>
              </w:tc>
              <w:tc>
                <w:tcPr>
                  <w:tcW w:w="11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225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8" w:hRule="atLeast"/>
              </w:trPr>
              <w:tc>
                <w:tcPr>
                  <w:tcW w:w="57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084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火灾、爆炸</w:t>
                  </w:r>
                </w:p>
              </w:tc>
              <w:tc>
                <w:tcPr>
                  <w:tcW w:w="3361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化学品/危险品库潜在泄露</w:t>
                  </w:r>
                </w:p>
              </w:tc>
              <w:tc>
                <w:tcPr>
                  <w:tcW w:w="118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污染大气</w:t>
                  </w:r>
                </w:p>
              </w:tc>
              <w:tc>
                <w:tcPr>
                  <w:tcW w:w="116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将来/紧急</w:t>
                  </w:r>
                </w:p>
              </w:tc>
              <w:tc>
                <w:tcPr>
                  <w:tcW w:w="225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7" w:hRule="atLeast"/>
              </w:trPr>
              <w:tc>
                <w:tcPr>
                  <w:tcW w:w="57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8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361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办公室电线短路</w:t>
                  </w:r>
                </w:p>
              </w:tc>
              <w:tc>
                <w:tcPr>
                  <w:tcW w:w="118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60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7" w:hRule="atLeast"/>
              </w:trPr>
              <w:tc>
                <w:tcPr>
                  <w:tcW w:w="57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084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有毒有害废弃物排放</w:t>
                  </w: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废化工材料及其包装、容器、含油棉纱棉布、漆刷</w:t>
                  </w:r>
                </w:p>
              </w:tc>
              <w:tc>
                <w:tcPr>
                  <w:tcW w:w="118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污染土地、水体</w:t>
                  </w:r>
                </w:p>
              </w:tc>
              <w:tc>
                <w:tcPr>
                  <w:tcW w:w="116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225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7" w:hRule="atLeast"/>
              </w:trPr>
              <w:tc>
                <w:tcPr>
                  <w:tcW w:w="57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8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现场清洗工具废渣、机械维修保养废渣</w:t>
                  </w:r>
                </w:p>
              </w:tc>
              <w:tc>
                <w:tcPr>
                  <w:tcW w:w="118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6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7" w:hRule="atLeast"/>
              </w:trPr>
              <w:tc>
                <w:tcPr>
                  <w:tcW w:w="57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8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办公区复印机墨盒、废电池、废日光灯管</w:t>
                  </w:r>
                </w:p>
              </w:tc>
              <w:tc>
                <w:tcPr>
                  <w:tcW w:w="118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6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7" w:hRule="atLeast"/>
              </w:trPr>
              <w:tc>
                <w:tcPr>
                  <w:tcW w:w="57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08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361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保洁、物业服务过程中施肥，农药喷洒</w:t>
                  </w:r>
                </w:p>
              </w:tc>
              <w:tc>
                <w:tcPr>
                  <w:tcW w:w="118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6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6" w:hRule="atLeast"/>
              </w:trPr>
              <w:tc>
                <w:tcPr>
                  <w:tcW w:w="57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08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车辆尾气排放</w:t>
                  </w:r>
                </w:p>
              </w:tc>
              <w:tc>
                <w:tcPr>
                  <w:tcW w:w="3361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汽车清扫日常作业</w:t>
                  </w: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污染大气</w:t>
                  </w:r>
                </w:p>
              </w:tc>
              <w:tc>
                <w:tcPr>
                  <w:tcW w:w="11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现在、将来/正常</w:t>
                  </w:r>
                </w:p>
              </w:tc>
              <w:tc>
                <w:tcPr>
                  <w:tcW w:w="225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管理方案/运行控制</w:t>
                  </w:r>
                </w:p>
              </w:tc>
            </w:tr>
          </w:tbl>
          <w:p>
            <w:pPr>
              <w:pStyle w:val="15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重要环境因素识别、评价与实际吻合，控制措施基本能够满足控制要求。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组织根据手册6.1.2条款、《危险源识别和风险评价控制程序》要求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，由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行政管理中心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负责编制《危险源辨识与风险评价记录表》，指导各职能部门（基层单位）开展危险、有害因素风险识别、评价，负责各职能部门（基层单位）风险评价记录的审查与控制效果有效性验证。组织有建立、更新《不可接受风险清单》。抽查组织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2022.5.20识别确定的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《不可接受风险清单》内容如下：</w:t>
            </w:r>
          </w:p>
          <w:tbl>
            <w:tblPr>
              <w:tblStyle w:val="8"/>
              <w:tblW w:w="96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"/>
              <w:gridCol w:w="4260"/>
              <w:gridCol w:w="1880"/>
              <w:gridCol w:w="1590"/>
              <w:gridCol w:w="1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37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2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作业活动（场所）</w:t>
                  </w:r>
                </w:p>
              </w:tc>
              <w:tc>
                <w:tcPr>
                  <w:tcW w:w="18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可能导致的事故</w:t>
                  </w:r>
                </w:p>
              </w:tc>
              <w:tc>
                <w:tcPr>
                  <w:tcW w:w="15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现有控制措施</w:t>
                  </w:r>
                </w:p>
              </w:tc>
              <w:tc>
                <w:tcPr>
                  <w:tcW w:w="15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控制计划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服务过程不规范，不配戴安全防护用具。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物体打击、车辆伤害、淹溺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kern w:val="0"/>
                      <w:sz w:val="21"/>
                      <w:szCs w:val="21"/>
                    </w:rPr>
                    <w:t>清洁开关面板、插座、灯罩时防护不当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触电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kern w:val="0"/>
                      <w:sz w:val="21"/>
                      <w:szCs w:val="21"/>
                    </w:rPr>
                    <w:t>搬运物件过程防护不当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物体打击、砸伤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2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化学用品（油漆、清洁剂、松香水、农药）泄露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中毒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恶劣作业环境防护不当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中暑、冻伤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2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kern w:val="0"/>
                      <w:sz w:val="21"/>
                      <w:szCs w:val="21"/>
                    </w:rPr>
                    <w:t>高空或离开地面作业时未佩戴安全用具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高空坠落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司机无证驾驶、酒后驾驶、未按操作规程驾驶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车辆伤害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</w:trPr>
              <w:tc>
                <w:tcPr>
                  <w:tcW w:w="379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26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用电作业不当，线路短路、危化品使用不当</w:t>
                  </w:r>
                </w:p>
              </w:tc>
              <w:tc>
                <w:tcPr>
                  <w:tcW w:w="18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火灾</w:t>
                  </w:r>
                </w:p>
              </w:tc>
              <w:tc>
                <w:tcPr>
                  <w:tcW w:w="159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加强管理</w:t>
                  </w:r>
                </w:p>
              </w:tc>
              <w:tc>
                <w:tcPr>
                  <w:tcW w:w="1580" w:type="dxa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制定控制措施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hint="eastAsia" w:eastAsia="华文细黑"/>
                <w:color w:val="FF000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组织的职业健康安全风险与危险源辨识清单判定的内容一致，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行政管理中心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负责人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梅弘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在访谈时介绍，组织会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21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合规义务监视与合规性评价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EO6.1.3/9.1.2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按照《法律、法规与其他要求的获取、识别与更新程序》和《合规性评价控制程序》对环境、职业健康安全相关的适用法律法规进行识别、确定及合规性评价。行政管理中心负责对有关环境/安全卫生的法律、法规与其他相关要求进行识别、获取、保管与更新，并负责对环境/职业健康安全的法律、法规与其他相关要求执行情况进行符合性检查，将检查、评价结果传达到管理者代表和有关适用部门。其它职能部门根据与本部门有关的法律、法规与相关要求，通过程序文件、作业指导书与管理制度等对本部门的环境/安全卫生方面活动进行管理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提供2022.4.20《适用的法律法规和其他要求清单（安全）》和《适用的法律法规和其他要求清单（环境）》，基本能够覆盖适用的法律法规和标准，基本能够满足识别和确定要求。</w:t>
            </w:r>
          </w:p>
          <w:p>
            <w:pPr>
              <w:spacing w:line="280" w:lineRule="exact"/>
              <w:ind w:firstLine="420" w:firstLineChars="200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查2022.8.30《合规性评价报告》：报告综述结论为各部门基本能严格遵守法律法规和其它相关的要求。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环境与安全控制准则及其运行记录总体情况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EO8.1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审核发现，组织相应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lang w:val="en-US" w:eastAsia="zh-CN"/>
              </w:rPr>
              <w:t>环境和职业健康安全运行过程控制如下：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lang w:eastAsia="zh-CN"/>
              </w:rPr>
              <w:t>固废管控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主要为</w:t>
            </w:r>
            <w:r>
              <w:rPr>
                <w:rFonts w:hint="eastAsia"/>
                <w:lang w:val="en-US" w:eastAsia="zh-CN"/>
              </w:rPr>
              <w:t>居民</w:t>
            </w:r>
            <w:r>
              <w:rPr>
                <w:rFonts w:hint="eastAsia" w:ascii="Times New Roman" w:hAnsi="Times New Roman"/>
                <w:lang w:eastAsia="zh-CN"/>
              </w:rPr>
              <w:t>生活垃圾，</w:t>
            </w:r>
            <w:r>
              <w:rPr>
                <w:rFonts w:hint="eastAsia"/>
                <w:lang w:val="en-US" w:eastAsia="zh-CN"/>
              </w:rPr>
              <w:t>小区有垃圾分类设施设备，</w:t>
            </w:r>
            <w:r>
              <w:rPr>
                <w:rFonts w:hint="eastAsia" w:ascii="Times New Roman" w:hAnsi="Times New Roman"/>
                <w:lang w:eastAsia="zh-CN"/>
              </w:rPr>
              <w:t>由市政环卫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 w:ascii="Times New Roman" w:hAnsi="Times New Roman"/>
                <w:lang w:eastAsia="zh-CN"/>
              </w:rPr>
              <w:t>处理。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lang w:eastAsia="zh-CN"/>
              </w:rPr>
              <w:t>废水管控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主要生活废水排入政府污水管网统一处理。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3,.废气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办公过程</w:t>
            </w:r>
            <w:r>
              <w:rPr>
                <w:rFonts w:hint="eastAsia"/>
                <w:lang w:val="en-US" w:eastAsia="zh-CN"/>
              </w:rPr>
              <w:t>及小区管理活动</w:t>
            </w:r>
            <w:r>
              <w:rPr>
                <w:rFonts w:hint="eastAsia" w:ascii="Times New Roman" w:hAnsi="Times New Roman"/>
                <w:lang w:val="en-US" w:eastAsia="zh-CN"/>
              </w:rPr>
              <w:t>基本无废气产生。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lang w:eastAsia="zh-CN"/>
              </w:rPr>
              <w:t>能源资源管控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办公及服务活动</w:t>
            </w:r>
            <w:r>
              <w:rPr>
                <w:rFonts w:hint="eastAsia" w:ascii="Times New Roman" w:hAnsi="Times New Roman"/>
                <w:lang w:eastAsia="zh-CN"/>
              </w:rPr>
              <w:t>注意节水、节电、节油，人走关闭开关，未发现有漏水和浪费电能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 w:ascii="Times New Roman" w:hAnsi="Times New Roman"/>
                <w:lang w:eastAsia="zh-CN"/>
              </w:rPr>
              <w:t>现象。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lang w:eastAsia="zh-CN"/>
              </w:rPr>
              <w:t>潜在火灾管控</w:t>
            </w:r>
          </w:p>
          <w:p>
            <w:pPr>
              <w:spacing w:line="240" w:lineRule="auto"/>
              <w:ind w:firstLine="420" w:firstLineChars="20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办公及住宅区域</w:t>
            </w:r>
            <w:r>
              <w:rPr>
                <w:rFonts w:hint="eastAsia" w:ascii="Times New Roman" w:hAnsi="Times New Roman"/>
                <w:lang w:val="en-US" w:eastAsia="zh-CN"/>
              </w:rPr>
              <w:t>配备了消防栓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灭火器</w:t>
            </w:r>
            <w:r>
              <w:rPr>
                <w:rFonts w:hint="eastAsia"/>
                <w:lang w:val="en-US" w:eastAsia="zh-CN"/>
              </w:rPr>
              <w:t>和消防报警系统</w:t>
            </w:r>
            <w:r>
              <w:rPr>
                <w:rFonts w:hint="eastAsia" w:ascii="Times New Roman" w:hAnsi="Times New Roman"/>
                <w:lang w:val="en-US" w:eastAsia="zh-CN"/>
              </w:rPr>
              <w:t>，状态有效，维护检查符合要求。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6.触电安全防护：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电气设施等都有</w:t>
            </w:r>
            <w:r>
              <w:rPr>
                <w:rFonts w:hint="eastAsia" w:ascii="Times New Roman" w:hAnsi="Times New Roman"/>
                <w:lang w:val="en-US" w:eastAsia="zh-CN"/>
              </w:rPr>
              <w:t>漏电保护器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>状态良好。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lang w:eastAsia="zh-CN"/>
              </w:rPr>
              <w:t>安全防护</w:t>
            </w:r>
          </w:p>
          <w:p>
            <w:pPr>
              <w:spacing w:line="280" w:lineRule="exact"/>
              <w:ind w:firstLine="420" w:firstLineChars="200"/>
              <w:rPr>
                <w:color w:val="FF0000"/>
              </w:rPr>
            </w:pPr>
            <w:r>
              <w:rPr>
                <w:rFonts w:hint="eastAsia" w:ascii="Times New Roman" w:hAnsi="Times New Roman"/>
                <w:lang w:eastAsia="zh-CN"/>
              </w:rPr>
              <w:t>疫情期间</w:t>
            </w:r>
            <w:r>
              <w:rPr>
                <w:rFonts w:hint="eastAsia" w:ascii="Times New Roman" w:hAnsi="Times New Roman"/>
                <w:lang w:val="en-US" w:eastAsia="zh-CN"/>
              </w:rPr>
              <w:t>进出</w:t>
            </w:r>
            <w:r>
              <w:rPr>
                <w:rFonts w:hint="eastAsia"/>
                <w:lang w:val="en-US" w:eastAsia="zh-CN"/>
              </w:rPr>
              <w:t>小区</w:t>
            </w:r>
            <w:r>
              <w:rPr>
                <w:rFonts w:hint="eastAsia" w:ascii="Times New Roman" w:hAnsi="Times New Roman"/>
                <w:lang w:eastAsia="zh-CN"/>
              </w:rPr>
              <w:t>人员进行</w:t>
            </w:r>
            <w:r>
              <w:rPr>
                <w:rFonts w:hint="eastAsia" w:ascii="Times New Roman" w:hAnsi="Times New Roman"/>
                <w:lang w:val="en-US" w:eastAsia="zh-CN"/>
              </w:rPr>
              <w:t>体温检查，扫码</w:t>
            </w:r>
            <w:r>
              <w:rPr>
                <w:rFonts w:hint="eastAsia" w:ascii="Times New Roman" w:hAnsi="Times New Roman"/>
                <w:lang w:eastAsia="zh-CN"/>
              </w:rPr>
              <w:t>登记，</w:t>
            </w:r>
            <w:r>
              <w:rPr>
                <w:rFonts w:hint="eastAsia" w:ascii="Times New Roman" w:hAnsi="Times New Roman"/>
                <w:lang w:val="en-US" w:eastAsia="zh-CN"/>
              </w:rPr>
              <w:t>查看双码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>组织</w:t>
            </w:r>
            <w:r>
              <w:rPr>
                <w:rFonts w:hint="eastAsia" w:ascii="Times New Roman" w:hAnsi="Times New Roman"/>
                <w:lang w:eastAsia="zh-CN"/>
              </w:rPr>
              <w:t>给员工发放口罩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手套</w:t>
            </w:r>
            <w:r>
              <w:rPr>
                <w:rFonts w:hint="eastAsia" w:ascii="Times New Roman" w:hAnsi="Times New Roman"/>
                <w:lang w:eastAsia="zh-CN"/>
              </w:rPr>
              <w:t>等劳保用品；</w:t>
            </w:r>
            <w:r>
              <w:rPr>
                <w:rFonts w:hint="eastAsia" w:ascii="Times New Roman" w:hAnsi="Times New Roman"/>
                <w:lang w:val="en-US" w:eastAsia="zh-CN"/>
              </w:rPr>
              <w:t>夏天给员工配备防暑药品如藿香口服液等。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组织总部应急准备与响应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EO8.2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编制了《应急准备与响应控制程序》，查看内容基本</w:t>
            </w:r>
            <w:r>
              <w:rPr>
                <w:rFonts w:hint="eastAsia"/>
                <w:szCs w:val="21"/>
                <w:lang w:val="en-US" w:eastAsia="zh-CN"/>
              </w:rPr>
              <w:t>无变化，</w:t>
            </w:r>
            <w:r>
              <w:rPr>
                <w:rFonts w:hint="eastAsia"/>
                <w:szCs w:val="21"/>
              </w:rPr>
              <w:t>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组织根据程序文件要求结合实际</w:t>
            </w:r>
            <w:r>
              <w:rPr>
                <w:rFonts w:hint="eastAsia"/>
                <w:szCs w:val="21"/>
              </w:rPr>
              <w:t>策划</w:t>
            </w:r>
            <w:r>
              <w:rPr>
                <w:rFonts w:hint="eastAsia"/>
                <w:szCs w:val="21"/>
                <w:lang w:val="en-US" w:eastAsia="zh-CN"/>
              </w:rPr>
              <w:t>了办公区域的</w:t>
            </w:r>
            <w:r>
              <w:rPr>
                <w:rFonts w:hint="eastAsia"/>
                <w:szCs w:val="21"/>
              </w:rPr>
              <w:t>应急</w:t>
            </w:r>
            <w:r>
              <w:rPr>
                <w:rFonts w:hint="eastAsia"/>
                <w:color w:val="auto"/>
                <w:szCs w:val="21"/>
              </w:rPr>
              <w:t>预案包括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火灾应急预案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等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基本合理。在体系运行期间没有发生异常情况。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参与小区消防演练，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查消防演练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记录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：演练时间202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日；地点：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小区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；参加人员：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所有办公区域人员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提供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演练过程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照片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，并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当场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对预案的有效性进行了评价。</w:t>
            </w:r>
          </w:p>
          <w:p>
            <w:pPr>
              <w:spacing w:line="280" w:lineRule="exact"/>
              <w:ind w:firstLine="420" w:firstLineChars="200"/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截止审核期间，项目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未发生火灾、触电等人身伤害事故。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不符合及其</w:t>
            </w:r>
            <w:bookmarkStart w:id="2" w:name="_GoBack"/>
            <w:bookmarkEnd w:id="2"/>
            <w:r>
              <w:rPr>
                <w:rFonts w:hint="eastAsia" w:ascii="华文细黑" w:hAnsi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纠正措施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EO10.2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组织编制了</w:t>
            </w:r>
            <w:r>
              <w:rPr>
                <w:rFonts w:hint="eastAsia" w:ascii="Times New Roman" w:hAnsi="Times New Roman" w:cs="Times New Roman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改进控制程序</w:t>
            </w:r>
            <w:r>
              <w:rPr>
                <w:rFonts w:hint="eastAsia" w:ascii="Times New Roman" w:hAnsi="Times New Roman" w:cs="Times New Roman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、《不符合、纠正与预防措施程序》，对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原因分析、</w:t>
            </w:r>
            <w:r>
              <w:rPr>
                <w:rFonts w:hint="eastAsia" w:ascii="Times New Roman" w:hAnsi="Times New Roman" w:cs="Times New Roman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确定、</w:t>
            </w:r>
            <w:r>
              <w:rPr>
                <w:rFonts w:hint="eastAsia" w:ascii="Times New Roman" w:hAnsi="Times New Roman" w:cs="Times New Roman"/>
                <w:szCs w:val="21"/>
              </w:rPr>
              <w:t>验证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以及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事故事件报告、调查、处理等作了规定，其内容符合组织实际及标准要求。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近一年体系运行以来</w:t>
            </w:r>
            <w:r>
              <w:rPr>
                <w:rFonts w:hint="eastAsia" w:cs="Times New Roman"/>
                <w:szCs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  <w:szCs w:val="21"/>
              </w:rPr>
              <w:t>按照</w:t>
            </w:r>
            <w:r>
              <w:rPr>
                <w:rFonts w:hint="eastAsia" w:cs="Times New Roman"/>
                <w:szCs w:val="21"/>
                <w:lang w:val="en-US" w:eastAsia="zh-CN"/>
              </w:rPr>
              <w:t>标准</w:t>
            </w:r>
            <w:r>
              <w:rPr>
                <w:rFonts w:hint="eastAsia" w:ascii="Times New Roman" w:hAnsi="Times New Roman" w:cs="Times New Roman"/>
                <w:szCs w:val="21"/>
              </w:rPr>
              <w:t>的要求，通过制定运行控制程序、</w:t>
            </w:r>
            <w:r>
              <w:rPr>
                <w:rFonts w:hint="eastAsia" w:cs="Times New Roman"/>
                <w:szCs w:val="21"/>
                <w:lang w:val="en-US" w:eastAsia="zh-CN"/>
              </w:rPr>
              <w:t>操作规程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加强培训，</w:t>
            </w:r>
            <w:r>
              <w:rPr>
                <w:rFonts w:hint="eastAsia" w:cs="Times New Roman"/>
                <w:szCs w:val="21"/>
                <w:lang w:val="en-US" w:eastAsia="zh-CN"/>
              </w:rPr>
              <w:t>结合内审和管理评审</w:t>
            </w:r>
            <w:r>
              <w:rPr>
                <w:rFonts w:hint="eastAsia" w:ascii="Times New Roman" w:hAnsi="Times New Roman" w:cs="Times New Roman"/>
                <w:szCs w:val="21"/>
              </w:rPr>
              <w:t>等方式采取预防措施，防止不符合的发生，不符合得到了有效控制，人员环保、安全意识有了明显提高，</w:t>
            </w:r>
            <w:r>
              <w:rPr>
                <w:rFonts w:hint="eastAsia" w:cs="Times New Roman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cs="Times New Roman"/>
                <w:szCs w:val="21"/>
              </w:rPr>
              <w:t>发生重大</w:t>
            </w:r>
            <w:r>
              <w:rPr>
                <w:rFonts w:hint="eastAsia" w:cs="Times New Roman"/>
                <w:szCs w:val="21"/>
                <w:lang w:val="en-US" w:eastAsia="zh-CN"/>
              </w:rPr>
              <w:t>环境和安全</w:t>
            </w:r>
            <w:r>
              <w:rPr>
                <w:rFonts w:hint="eastAsia" w:ascii="Times New Roman" w:hAnsi="Times New Roman" w:cs="Times New Roman"/>
                <w:szCs w:val="21"/>
              </w:rPr>
              <w:t>事故</w:t>
            </w:r>
            <w:r>
              <w:rPr>
                <w:rFonts w:hint="eastAsia" w:cs="Times New Roman"/>
                <w:szCs w:val="21"/>
                <w:lang w:val="en-US" w:eastAsia="zh-CN"/>
              </w:rPr>
              <w:t>以及</w:t>
            </w:r>
            <w:r>
              <w:rPr>
                <w:rFonts w:hint="eastAsia" w:ascii="Times New Roman" w:hAnsi="Times New Roman" w:cs="Times New Roman"/>
                <w:szCs w:val="21"/>
              </w:rPr>
              <w:t>投诉处罚</w:t>
            </w:r>
            <w:r>
              <w:rPr>
                <w:rFonts w:hint="eastAsia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rPr>
          <w:rFonts w:hint="eastAsia"/>
          <w:lang w:val="en-US" w:eastAsia="zh-CN"/>
        </w:rPr>
        <w:t>说</w:t>
      </w:r>
      <w:r>
        <w:rPr>
          <w:rFonts w:hint="eastAsia"/>
        </w:rPr>
        <w:t>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1470799"/>
    <w:rsid w:val="01FB6916"/>
    <w:rsid w:val="03732BA6"/>
    <w:rsid w:val="05551D4C"/>
    <w:rsid w:val="05F11A75"/>
    <w:rsid w:val="08DF02AB"/>
    <w:rsid w:val="098D7D07"/>
    <w:rsid w:val="0A7E5C22"/>
    <w:rsid w:val="0ADD081A"/>
    <w:rsid w:val="0BE40501"/>
    <w:rsid w:val="0C27466A"/>
    <w:rsid w:val="0E5306B0"/>
    <w:rsid w:val="0EA539D7"/>
    <w:rsid w:val="148E25FB"/>
    <w:rsid w:val="14910533"/>
    <w:rsid w:val="152C4D1E"/>
    <w:rsid w:val="16282DBB"/>
    <w:rsid w:val="179C6865"/>
    <w:rsid w:val="17DD454F"/>
    <w:rsid w:val="19FA7262"/>
    <w:rsid w:val="1A491A28"/>
    <w:rsid w:val="1E4C7D38"/>
    <w:rsid w:val="1EAA4A5F"/>
    <w:rsid w:val="1EBD0C36"/>
    <w:rsid w:val="205A49AA"/>
    <w:rsid w:val="218400BA"/>
    <w:rsid w:val="226703BD"/>
    <w:rsid w:val="25B56073"/>
    <w:rsid w:val="25F93317"/>
    <w:rsid w:val="26663961"/>
    <w:rsid w:val="287158E1"/>
    <w:rsid w:val="288051AE"/>
    <w:rsid w:val="28940A7B"/>
    <w:rsid w:val="2A1C0F07"/>
    <w:rsid w:val="2AB923A2"/>
    <w:rsid w:val="2CC55886"/>
    <w:rsid w:val="30D616E4"/>
    <w:rsid w:val="317A4C08"/>
    <w:rsid w:val="33184235"/>
    <w:rsid w:val="34B51A3C"/>
    <w:rsid w:val="34F36D08"/>
    <w:rsid w:val="369D34F2"/>
    <w:rsid w:val="36FD5C1C"/>
    <w:rsid w:val="38832151"/>
    <w:rsid w:val="3C345B6C"/>
    <w:rsid w:val="3CDD03CB"/>
    <w:rsid w:val="3CF5326E"/>
    <w:rsid w:val="3D8F3346"/>
    <w:rsid w:val="3DAB4624"/>
    <w:rsid w:val="3E3526FF"/>
    <w:rsid w:val="3FB7419F"/>
    <w:rsid w:val="4144322E"/>
    <w:rsid w:val="427B03DF"/>
    <w:rsid w:val="42B60C1B"/>
    <w:rsid w:val="4391606A"/>
    <w:rsid w:val="43AF43F9"/>
    <w:rsid w:val="4601007B"/>
    <w:rsid w:val="48665063"/>
    <w:rsid w:val="496918B0"/>
    <w:rsid w:val="4BED66E7"/>
    <w:rsid w:val="515F3303"/>
    <w:rsid w:val="541C536D"/>
    <w:rsid w:val="54331F58"/>
    <w:rsid w:val="55A974D1"/>
    <w:rsid w:val="56341C1D"/>
    <w:rsid w:val="566118CC"/>
    <w:rsid w:val="567A12BE"/>
    <w:rsid w:val="587F6039"/>
    <w:rsid w:val="590E6812"/>
    <w:rsid w:val="5C357C0E"/>
    <w:rsid w:val="5DA052A8"/>
    <w:rsid w:val="5E0B4267"/>
    <w:rsid w:val="5EF56E02"/>
    <w:rsid w:val="5F1C46C4"/>
    <w:rsid w:val="608A688B"/>
    <w:rsid w:val="60C767CF"/>
    <w:rsid w:val="613F280A"/>
    <w:rsid w:val="61E138C1"/>
    <w:rsid w:val="6570193C"/>
    <w:rsid w:val="66B85CBB"/>
    <w:rsid w:val="677166C6"/>
    <w:rsid w:val="69755D9C"/>
    <w:rsid w:val="6A8D126F"/>
    <w:rsid w:val="6D547772"/>
    <w:rsid w:val="706758D9"/>
    <w:rsid w:val="735C6276"/>
    <w:rsid w:val="736752DF"/>
    <w:rsid w:val="73C73BBB"/>
    <w:rsid w:val="753005DD"/>
    <w:rsid w:val="768574CD"/>
    <w:rsid w:val="77FE2FC7"/>
    <w:rsid w:val="782F13D2"/>
    <w:rsid w:val="78C935D5"/>
    <w:rsid w:val="79B60BF1"/>
    <w:rsid w:val="7AFD57B8"/>
    <w:rsid w:val="7B0D52CF"/>
    <w:rsid w:val="7B4C229B"/>
    <w:rsid w:val="7F3948E4"/>
    <w:rsid w:val="7FD21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360"/>
    </w:pPr>
    <w:rPr>
      <w:sz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2740</Words>
  <Characters>3045</Characters>
  <Lines>1</Lines>
  <Paragraphs>1</Paragraphs>
  <TotalTime>1</TotalTime>
  <ScaleCrop>false</ScaleCrop>
  <LinksUpToDate>false</LinksUpToDate>
  <CharactersWithSpaces>3212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2022-11-03T01:16:20Z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