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>QMS</w:t>
      </w:r>
      <w:bookmarkStart w:id="1" w:name="QJ勾选"/>
      <w:r>
        <w:rPr>
          <w:rFonts w:hint="eastAsia"/>
          <w:b/>
          <w:sz w:val="22"/>
          <w:szCs w:val="22"/>
          <w:lang w:val="en-US" w:eastAsia="zh-CN"/>
        </w:rPr>
        <w:t>■EMS■OHSMS</w:t>
      </w:r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bookmarkStart w:id="4" w:name="_GoBack"/>
            <w:bookmarkEnd w:id="4"/>
            <w:r>
              <w:rPr>
                <w:b/>
                <w:bCs/>
                <w:sz w:val="21"/>
                <w:szCs w:val="21"/>
              </w:rPr>
              <w:t>杭州品尚物业服务集团有限公司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bookmarkStart w:id="3" w:name="专业代码"/>
            <w:r>
              <w:rPr>
                <w:sz w:val="20"/>
              </w:rPr>
              <w:t>E：35.15.00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O：35.15.00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Q：35.15.00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O：35.15.00</w:t>
            </w:r>
          </w:p>
          <w:p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Q：35.15.00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投标→项目策划→项目入驻→服务提供→服务质量评定→服务改进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重要环境因素及其控制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重要危险源及其控制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5995"/>
              </w:tabs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关键过程/特殊过程：物业服务；主要控制参数：人员能力。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重要环境因素：一般固废：分类处置；生活污水：统一排入市政污水管网；火灾：消防控制。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重要危险源：火灾：消防控制；触电：规范操作；其它：相应管理措施。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lang w:val="en-US" w:eastAsia="zh-CN"/>
              </w:rPr>
              <w:t>物业管理条例</w:t>
            </w:r>
            <w:r>
              <w:rPr>
                <w:rFonts w:hint="eastAsia"/>
                <w:b/>
                <w:sz w:val="20"/>
                <w:lang w:eastAsia="zh-CN"/>
              </w:rPr>
              <w:t>》、《中华人民共和国环境保护法》、《中华人民共和国安全生产法》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7CF1338"/>
    <w:rsid w:val="0E7476E7"/>
    <w:rsid w:val="141A2ADF"/>
    <w:rsid w:val="1D3B4B5B"/>
    <w:rsid w:val="2749750B"/>
    <w:rsid w:val="2DD12FDC"/>
    <w:rsid w:val="30772F4F"/>
    <w:rsid w:val="3AF13B97"/>
    <w:rsid w:val="3C4F6F1A"/>
    <w:rsid w:val="564D41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wangxianhua</cp:lastModifiedBy>
  <dcterms:modified xsi:type="dcterms:W3CDTF">2022-10-31T12:08:33Z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