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0165-2021-Q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501"/>
        <w:gridCol w:w="891"/>
        <w:gridCol w:w="318"/>
        <w:gridCol w:w="330"/>
        <w:gridCol w:w="434"/>
        <w:gridCol w:w="93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陕西锦艺电子科技有限公司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ISC-Q-2021-1337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91610113MA6TX2UN96</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15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7"/>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501" w:type="dxa"/>
          </w:tcPr>
          <w:p>
            <w:pPr>
              <w:snapToGrid w:val="0"/>
              <w:spacing w:line="0" w:lineRule="atLeast"/>
              <w:jc w:val="left"/>
              <w:rPr>
                <w:sz w:val="22"/>
                <w:szCs w:val="22"/>
              </w:rPr>
            </w:pPr>
            <w:r>
              <w:rPr>
                <w:rFonts w:hint="eastAsia"/>
                <w:sz w:val="22"/>
                <w:szCs w:val="22"/>
                <w:lang w:val="en-GB"/>
              </w:rPr>
              <w:t>中文公司名称及地址</w:t>
            </w:r>
          </w:p>
        </w:tc>
        <w:tc>
          <w:tcPr>
            <w:tcW w:w="4885"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501" w:type="dxa"/>
          </w:tcPr>
          <w:p>
            <w:pPr>
              <w:snapToGrid w:val="0"/>
              <w:spacing w:line="0" w:lineRule="atLeast"/>
              <w:jc w:val="left"/>
              <w:rPr>
                <w:sz w:val="22"/>
                <w:szCs w:val="22"/>
                <w:lang w:val="en-GB"/>
              </w:rPr>
            </w:pPr>
            <w:bookmarkStart w:id="18" w:name="组织名称Add1"/>
            <w:r>
              <w:rPr>
                <w:rFonts w:hint="eastAsia"/>
                <w:sz w:val="22"/>
                <w:szCs w:val="22"/>
              </w:rPr>
              <w:t>陕西锦艺电子科技有限公司</w:t>
            </w:r>
            <w:bookmarkEnd w:id="18"/>
          </w:p>
        </w:tc>
        <w:tc>
          <w:tcPr>
            <w:tcW w:w="4885" w:type="dxa"/>
            <w:gridSpan w:val="6"/>
            <w:vMerge w:val="restart"/>
          </w:tcPr>
          <w:p>
            <w:pPr>
              <w:snapToGrid w:val="0"/>
              <w:spacing w:line="0" w:lineRule="atLeast"/>
              <w:jc w:val="left"/>
              <w:rPr>
                <w:sz w:val="22"/>
                <w:szCs w:val="22"/>
              </w:rPr>
            </w:pPr>
            <w:bookmarkStart w:id="19" w:name="审核范围"/>
            <w:r>
              <w:rPr>
                <w:sz w:val="22"/>
                <w:szCs w:val="22"/>
              </w:rPr>
              <w:t>机械零部件加工；锁紧装置及其附件、电源模块和线缆组件的设计、生产制造、装配调试及技术服务。</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501" w:type="dxa"/>
          </w:tcPr>
          <w:p>
            <w:pPr>
              <w:snapToGrid w:val="0"/>
              <w:spacing w:line="0" w:lineRule="atLeast"/>
              <w:jc w:val="left"/>
              <w:rPr>
                <w:sz w:val="22"/>
                <w:szCs w:val="22"/>
              </w:rPr>
            </w:pPr>
            <w:bookmarkStart w:id="20" w:name="注册地址"/>
            <w:r>
              <w:rPr>
                <w:rFonts w:hint="eastAsia"/>
                <w:sz w:val="22"/>
                <w:szCs w:val="22"/>
                <w:lang w:val="en-GB"/>
              </w:rPr>
              <w:t>西安市雁塔区电子西街3号西京三号第5幢十四层51409号</w:t>
            </w:r>
            <w:bookmarkEnd w:id="20"/>
          </w:p>
        </w:tc>
        <w:tc>
          <w:tcPr>
            <w:tcW w:w="4885"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501" w:type="dxa"/>
          </w:tcPr>
          <w:p>
            <w:pPr>
              <w:snapToGrid w:val="0"/>
              <w:spacing w:line="0" w:lineRule="atLeast"/>
              <w:jc w:val="left"/>
              <w:rPr>
                <w:sz w:val="22"/>
                <w:szCs w:val="22"/>
              </w:rPr>
            </w:pPr>
            <w:bookmarkStart w:id="21" w:name="办公地址"/>
            <w:r>
              <w:rPr>
                <w:rFonts w:hint="eastAsia"/>
                <w:sz w:val="22"/>
                <w:szCs w:val="22"/>
                <w:lang w:val="en-GB"/>
              </w:rPr>
              <w:t>西安市雁塔区电子二路锦业大厦</w:t>
            </w:r>
          </w:p>
          <w:p>
            <w:pPr>
              <w:numPr>
                <w:ilvl w:val="0"/>
                <w:numId w:val="1"/>
              </w:numPr>
              <w:snapToGrid w:val="0"/>
              <w:spacing w:line="0" w:lineRule="atLeast"/>
              <w:jc w:val="left"/>
              <w:rPr>
                <w:rFonts w:hint="eastAsia"/>
                <w:sz w:val="22"/>
                <w:szCs w:val="22"/>
                <w:lang w:val="en-GB"/>
              </w:rPr>
            </w:pPr>
            <w:r>
              <w:rPr>
                <w:rFonts w:hint="eastAsia"/>
                <w:sz w:val="22"/>
                <w:szCs w:val="22"/>
                <w:lang w:val="en-GB"/>
              </w:rPr>
              <w:t>G</w:t>
            </w:r>
            <w:bookmarkEnd w:id="21"/>
            <w:bookmarkStart w:id="22" w:name="_GoBack"/>
            <w:bookmarkEnd w:id="22"/>
          </w:p>
          <w:p>
            <w:pPr>
              <w:numPr>
                <w:ilvl w:val="0"/>
                <w:numId w:val="0"/>
              </w:numPr>
              <w:snapToGrid w:val="0"/>
              <w:spacing w:line="0" w:lineRule="atLeast"/>
              <w:jc w:val="left"/>
              <w:rPr>
                <w:rFonts w:hint="eastAsia"/>
                <w:sz w:val="22"/>
                <w:szCs w:val="22"/>
                <w:lang w:val="en-GB"/>
              </w:rPr>
            </w:pPr>
            <w:r>
              <w:rPr>
                <w:rFonts w:asciiTheme="minorEastAsia" w:hAnsiTheme="minorEastAsia" w:eastAsiaTheme="minorEastAsia"/>
                <w:sz w:val="20"/>
              </w:rPr>
              <w:t>西安市长安区长安科技园创汇路25号</w:t>
            </w:r>
          </w:p>
        </w:tc>
        <w:tc>
          <w:tcPr>
            <w:tcW w:w="4885"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576" w:type="dxa"/>
          </w:tcPr>
          <w:p>
            <w:pPr>
              <w:snapToGrid w:val="0"/>
              <w:spacing w:line="0" w:lineRule="atLeast"/>
              <w:jc w:val="left"/>
              <w:rPr>
                <w:sz w:val="22"/>
                <w:szCs w:val="22"/>
              </w:rPr>
            </w:pPr>
          </w:p>
        </w:tc>
        <w:tc>
          <w:tcPr>
            <w:tcW w:w="3501"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885"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501" w:type="dxa"/>
            <w:vMerge w:val="restart"/>
          </w:tcPr>
          <w:p>
            <w:pPr>
              <w:snapToGrid w:val="0"/>
              <w:spacing w:line="0" w:lineRule="atLeast"/>
              <w:jc w:val="left"/>
              <w:rPr>
                <w:sz w:val="22"/>
                <w:szCs w:val="22"/>
              </w:rPr>
            </w:pPr>
            <w:r>
              <w:rPr>
                <w:rFonts w:hint="eastAsia"/>
                <w:color w:val="FF0000"/>
                <w:sz w:val="21"/>
                <w:szCs w:val="16"/>
              </w:rPr>
              <w:t>Shaanxi Jinyi Electronic Technology Co., Ltd</w:t>
            </w:r>
          </w:p>
        </w:tc>
        <w:tc>
          <w:tcPr>
            <w:tcW w:w="1209" w:type="dxa"/>
            <w:gridSpan w:val="2"/>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color w:val="FF0000"/>
                <w:sz w:val="21"/>
                <w:szCs w:val="16"/>
              </w:rPr>
            </w:pPr>
            <w:r>
              <w:rPr>
                <w:rFonts w:hint="eastAsia"/>
                <w:color w:val="FF0000"/>
                <w:sz w:val="21"/>
                <w:szCs w:val="16"/>
              </w:rPr>
              <w:t xml:space="preserve"> Processing of mechanical parts; design, manufacturing, assembly, debugging and technical service of locking device and its accessories, power supply module and cable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6" w:type="dxa"/>
            <w:vMerge w:val="continue"/>
          </w:tcPr>
          <w:p>
            <w:pPr>
              <w:snapToGrid w:val="0"/>
              <w:spacing w:line="0" w:lineRule="atLeast"/>
              <w:jc w:val="left"/>
              <w:rPr>
                <w:rFonts w:cs="Arial"/>
                <w:b/>
                <w:bCs/>
                <w:sz w:val="22"/>
                <w:szCs w:val="16"/>
              </w:rPr>
            </w:pPr>
          </w:p>
        </w:tc>
        <w:tc>
          <w:tcPr>
            <w:tcW w:w="3501" w:type="dxa"/>
            <w:vMerge w:val="continue"/>
          </w:tcPr>
          <w:p>
            <w:pPr>
              <w:snapToGrid w:val="0"/>
              <w:spacing w:line="0" w:lineRule="atLeast"/>
              <w:jc w:val="left"/>
              <w:rPr>
                <w:rFonts w:cs="Arial"/>
                <w:b/>
                <w:bCs/>
                <w:sz w:val="22"/>
                <w:szCs w:val="16"/>
              </w:rPr>
            </w:pPr>
          </w:p>
        </w:tc>
        <w:tc>
          <w:tcPr>
            <w:tcW w:w="1209"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501" w:type="dxa"/>
            <w:vMerge w:val="restart"/>
          </w:tcPr>
          <w:p>
            <w:pPr>
              <w:snapToGrid w:val="0"/>
              <w:spacing w:line="0" w:lineRule="atLeast"/>
              <w:jc w:val="left"/>
              <w:rPr>
                <w:sz w:val="22"/>
                <w:szCs w:val="22"/>
              </w:rPr>
            </w:pPr>
            <w:r>
              <w:rPr>
                <w:rFonts w:hint="eastAsia" w:cs="Arial"/>
                <w:b/>
                <w:bCs/>
                <w:sz w:val="22"/>
                <w:szCs w:val="16"/>
              </w:rPr>
              <w:t xml:space="preserve"> </w:t>
            </w:r>
            <w:r>
              <w:rPr>
                <w:rFonts w:hint="eastAsia"/>
                <w:color w:val="FF0000"/>
                <w:sz w:val="21"/>
                <w:szCs w:val="16"/>
              </w:rPr>
              <w:t>No.51409, Floor 4, Building 5, Building 5, No.3 Electronics West Street, Yanta District, Xi'an</w:t>
            </w:r>
          </w:p>
        </w:tc>
        <w:tc>
          <w:tcPr>
            <w:tcW w:w="1209"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501" w:type="dxa"/>
            <w:vMerge w:val="continue"/>
          </w:tcPr>
          <w:p>
            <w:pPr>
              <w:snapToGrid w:val="0"/>
              <w:spacing w:line="0" w:lineRule="atLeast"/>
              <w:jc w:val="left"/>
              <w:rPr>
                <w:rFonts w:cs="Arial"/>
                <w:b/>
                <w:bCs/>
                <w:sz w:val="22"/>
                <w:szCs w:val="16"/>
              </w:rPr>
            </w:pPr>
          </w:p>
        </w:tc>
        <w:tc>
          <w:tcPr>
            <w:tcW w:w="1209" w:type="dxa"/>
            <w:gridSpan w:val="2"/>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501" w:type="dxa"/>
            <w:vMerge w:val="restart"/>
          </w:tcPr>
          <w:p>
            <w:pPr>
              <w:snapToGrid w:val="0"/>
              <w:spacing w:line="0" w:lineRule="atLeast"/>
              <w:jc w:val="left"/>
              <w:rPr>
                <w:rFonts w:hint="eastAsia"/>
                <w:color w:val="FF0000"/>
                <w:sz w:val="21"/>
                <w:szCs w:val="16"/>
              </w:rPr>
            </w:pPr>
            <w:r>
              <w:rPr>
                <w:rFonts w:hint="eastAsia"/>
                <w:color w:val="FF0000"/>
                <w:sz w:val="21"/>
                <w:szCs w:val="16"/>
              </w:rPr>
              <w:t>Xi'an Yanta District Electronics Second Road Jinye Building 8-G</w:t>
            </w:r>
          </w:p>
          <w:p>
            <w:pPr>
              <w:snapToGrid w:val="0"/>
              <w:spacing w:line="0" w:lineRule="atLeast"/>
              <w:jc w:val="left"/>
              <w:rPr>
                <w:rFonts w:hint="eastAsia"/>
                <w:color w:val="FF0000"/>
                <w:sz w:val="21"/>
                <w:szCs w:val="16"/>
              </w:rPr>
            </w:pPr>
          </w:p>
          <w:p>
            <w:pPr>
              <w:snapToGrid w:val="0"/>
              <w:spacing w:line="0" w:lineRule="atLeast"/>
              <w:jc w:val="left"/>
              <w:rPr>
                <w:rFonts w:hint="eastAsia"/>
                <w:sz w:val="21"/>
                <w:szCs w:val="16"/>
              </w:rPr>
            </w:pPr>
            <w:r>
              <w:rPr>
                <w:rFonts w:hint="eastAsia"/>
                <w:color w:val="FF0000"/>
                <w:sz w:val="21"/>
                <w:szCs w:val="16"/>
              </w:rPr>
              <w:t>No.25, Chuanghui Road, Changan Science and Technology Park, Chang 'an District, Xi' an City</w:t>
            </w:r>
          </w:p>
        </w:tc>
        <w:tc>
          <w:tcPr>
            <w:tcW w:w="1209" w:type="dxa"/>
            <w:gridSpan w:val="2"/>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576" w:type="dxa"/>
            <w:vMerge w:val="continue"/>
          </w:tcPr>
          <w:p>
            <w:pPr>
              <w:snapToGrid w:val="0"/>
              <w:spacing w:line="0" w:lineRule="atLeast"/>
              <w:jc w:val="left"/>
              <w:rPr>
                <w:rFonts w:cs="Arial"/>
                <w:b/>
                <w:bCs/>
                <w:sz w:val="22"/>
                <w:szCs w:val="16"/>
              </w:rPr>
            </w:pPr>
          </w:p>
        </w:tc>
        <w:tc>
          <w:tcPr>
            <w:tcW w:w="3501" w:type="dxa"/>
            <w:vMerge w:val="continue"/>
          </w:tcPr>
          <w:p>
            <w:pPr>
              <w:snapToGrid w:val="0"/>
              <w:spacing w:line="0" w:lineRule="atLeast"/>
              <w:jc w:val="left"/>
              <w:rPr>
                <w:rFonts w:cs="Arial"/>
                <w:b/>
                <w:bCs/>
                <w:sz w:val="22"/>
                <w:szCs w:val="16"/>
              </w:rPr>
            </w:pPr>
          </w:p>
        </w:tc>
        <w:tc>
          <w:tcPr>
            <w:tcW w:w="1209" w:type="dxa"/>
            <w:gridSpan w:val="2"/>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392"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082" w:type="dxa"/>
            <w:gridSpan w:val="3"/>
          </w:tcPr>
          <w:p>
            <w:pPr>
              <w:snapToGrid w:val="0"/>
              <w:spacing w:line="0" w:lineRule="atLeast"/>
              <w:jc w:val="left"/>
              <w:rPr>
                <w:sz w:val="22"/>
                <w:szCs w:val="22"/>
              </w:rPr>
            </w:pPr>
            <w:r>
              <w:rPr>
                <w:rFonts w:hint="eastAsia"/>
                <w:sz w:val="22"/>
                <w:szCs w:val="18"/>
              </w:rPr>
              <w:t>审核组长签字</w:t>
            </w:r>
          </w:p>
        </w:tc>
        <w:tc>
          <w:tcPr>
            <w:tcW w:w="2912" w:type="dxa"/>
            <w:gridSpan w:val="2"/>
          </w:tcPr>
          <w:p>
            <w:pPr>
              <w:snapToGrid w:val="0"/>
              <w:spacing w:line="0" w:lineRule="atLeast"/>
              <w:jc w:val="left"/>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312420</wp:posOffset>
                  </wp:positionH>
                  <wp:positionV relativeFrom="paragraph">
                    <wp:posOffset>160020</wp:posOffset>
                  </wp:positionV>
                  <wp:extent cx="478790" cy="368300"/>
                  <wp:effectExtent l="0" t="0" r="3810" b="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5">
                            <a:clrChange>
                              <a:clrFrom>
                                <a:srgbClr val="212121">
                                  <a:alpha val="100000"/>
                                </a:srgbClr>
                              </a:clrFrom>
                              <a:clrTo>
                                <a:srgbClr val="212121">
                                  <a:alpha val="100000"/>
                                  <a:alpha val="0"/>
                                </a:srgbClr>
                              </a:clrTo>
                            </a:clrChange>
                          </a:blip>
                          <a:stretch>
                            <a:fillRect/>
                          </a:stretch>
                        </pic:blipFill>
                        <pic:spPr>
                          <a:xfrm>
                            <a:off x="0" y="0"/>
                            <a:ext cx="478790" cy="368300"/>
                          </a:xfrm>
                          <a:prstGeom prst="rect">
                            <a:avLst/>
                          </a:prstGeom>
                        </pic:spPr>
                      </pic:pic>
                    </a:graphicData>
                  </a:graphic>
                </wp:anchor>
              </w:drawing>
            </w: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D15FB"/>
    <w:multiLevelType w:val="singleLevel"/>
    <w:tmpl w:val="5FDD15FB"/>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121C3BD9"/>
    <w:rsid w:val="361D1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0</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2022-10-25T05:10:07Z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