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1061-2021-EnMs-2022</w:t>
      </w:r>
      <w:bookmarkEnd w:id="0"/>
    </w:p>
    <w:p>
      <w:pPr>
        <w:jc w:val="left"/>
        <w:rPr>
          <w:rFonts w:hint="eastAsia"/>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安徽银通物业管理有限公司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14"/>
      </w:pPr>
    </w:p>
    <w:p>
      <w:pPr>
        <w:pStyle w:val="14"/>
      </w:pPr>
    </w:p>
    <w:p>
      <w:pPr>
        <w:pStyle w:val="14"/>
      </w:pPr>
    </w:p>
    <w:p>
      <w:pPr>
        <w:pStyle w:val="14"/>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安徽银通物业管理有限公司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安徽省合肥市长江中路130号</w:t>
            </w:r>
            <w:bookmarkEnd w:id="6"/>
          </w:p>
        </w:tc>
        <w:tc>
          <w:tcPr>
            <w:tcW w:w="1242" w:type="dxa"/>
            <w:vMerge w:val="restart"/>
            <w:vAlign w:val="center"/>
          </w:tcPr>
          <w:p>
            <w:r>
              <w:rPr>
                <w:rFonts w:hint="eastAsia"/>
              </w:rPr>
              <w:t>邮编</w:t>
            </w:r>
          </w:p>
        </w:tc>
        <w:tc>
          <w:tcPr>
            <w:tcW w:w="1771" w:type="dxa"/>
          </w:tcPr>
          <w:p>
            <w:bookmarkStart w:id="7" w:name="注册邮编"/>
            <w:r>
              <w:t>230001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安徽省合肥市蜀山区繁华大道紫御府小区5号楼2楼</w:t>
            </w:r>
            <w:bookmarkEnd w:id="8"/>
          </w:p>
        </w:tc>
        <w:tc>
          <w:tcPr>
            <w:tcW w:w="1242" w:type="dxa"/>
            <w:vMerge w:val="continue"/>
            <w:vAlign w:val="center"/>
          </w:tcPr>
          <w:p/>
        </w:tc>
        <w:tc>
          <w:tcPr>
            <w:tcW w:w="1771" w:type="dxa"/>
          </w:tcPr>
          <w:p>
            <w:bookmarkStart w:id="9" w:name="办公邮编"/>
            <w:r>
              <w:t>230022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刘一帆</w:t>
            </w:r>
            <w:bookmarkEnd w:id="10"/>
          </w:p>
        </w:tc>
        <w:tc>
          <w:tcPr>
            <w:tcW w:w="1313" w:type="dxa"/>
            <w:vAlign w:val="center"/>
          </w:tcPr>
          <w:p>
            <w:r>
              <w:rPr>
                <w:rFonts w:hint="eastAsia"/>
              </w:rPr>
              <w:t>电话.</w:t>
            </w:r>
          </w:p>
        </w:tc>
        <w:tc>
          <w:tcPr>
            <w:tcW w:w="2180" w:type="dxa"/>
            <w:vAlign w:val="center"/>
          </w:tcPr>
          <w:p>
            <w:bookmarkStart w:id="11" w:name="联系人电话"/>
            <w:r>
              <w:t>0551-63823169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周名奎</w:t>
            </w:r>
            <w:bookmarkEnd w:id="13"/>
          </w:p>
        </w:tc>
        <w:tc>
          <w:tcPr>
            <w:tcW w:w="1313" w:type="dxa"/>
            <w:vAlign w:val="center"/>
          </w:tcPr>
          <w:p>
            <w:r>
              <w:rPr>
                <w:rFonts w:hint="eastAsia"/>
              </w:rPr>
              <w:t>管理者代表</w:t>
            </w:r>
          </w:p>
        </w:tc>
        <w:tc>
          <w:tcPr>
            <w:tcW w:w="2180" w:type="dxa"/>
          </w:tcPr>
          <w:p>
            <w:bookmarkStart w:id="14" w:name="管理者代表"/>
            <w:r>
              <w:t>王月兰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w:t>
            </w:r>
            <w:r>
              <w:rPr>
                <w:rFonts w:hint="eastAsia"/>
              </w:rPr>
              <w:sym w:font="Wingdings 2" w:char="0052"/>
            </w:r>
            <w:r>
              <w:rPr>
                <w:rFonts w:hint="eastAsia"/>
              </w:rPr>
              <w:t>双班</w:t>
            </w:r>
            <w:r>
              <w:rPr>
                <w:rFonts w:hint="eastAsia"/>
                <w:lang w:eastAsia="zh-CN"/>
              </w:rPr>
              <w:t>（</w:t>
            </w:r>
            <w:r>
              <w:rPr>
                <w:rFonts w:hint="eastAsia"/>
                <w:lang w:val="en-US" w:eastAsia="zh-CN"/>
              </w:rPr>
              <w:t>保安</w:t>
            </w:r>
            <w:r>
              <w:rPr>
                <w:rFonts w:hint="eastAsia"/>
                <w:lang w:eastAsia="zh-CN"/>
              </w:rPr>
              <w:t>）</w:t>
            </w:r>
            <w:r>
              <w:rPr>
                <w:rFonts w:hint="eastAsia"/>
              </w:rPr>
              <w:t>□三班□其他</w:t>
            </w:r>
          </w:p>
          <w:p>
            <w:r>
              <w:rPr>
                <w:rFonts w:hint="eastAsia"/>
                <w:highlight w:val="none"/>
              </w:rPr>
              <w:t>审核相应地考虑了多班次操作，并且有代表性地审核了所有班次。）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4178300" cy="41465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178300" cy="4146550"/>
                          </a:xfrm>
                          <a:prstGeom prst="rect">
                            <a:avLst/>
                          </a:prstGeom>
                          <a:noFill/>
                          <a:ln>
                            <a:noFill/>
                          </a:ln>
                        </pic:spPr>
                      </pic:pic>
                    </a:graphicData>
                  </a:graphic>
                </wp:inline>
              </w:drawing>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2022年10月24日 上午至2022年10月25日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ISO50001：2018标准</w:t>
            </w:r>
          </w:p>
          <w:p>
            <w:r>
              <w:rPr>
                <w:rFonts w:hint="eastAsia"/>
                <w:lang w:val="de-DE"/>
              </w:rPr>
              <w:sym w:font="Wingdings 2" w:char="0052"/>
            </w:r>
            <w:r>
              <w:rPr>
                <w:rFonts w:hint="eastAsia"/>
                <w:lang w:val="de-DE"/>
              </w:rPr>
              <w:t xml:space="preserve">RB/T </w:t>
            </w:r>
            <w:r>
              <w:rPr>
                <w:rFonts w:hint="eastAsia"/>
                <w:lang w:val="en-US" w:eastAsia="zh-CN"/>
              </w:rPr>
              <w:t>107-2013</w:t>
            </w:r>
            <w:r>
              <w:rPr>
                <w:rFonts w:hint="eastAsia"/>
                <w:lang w:val="de-DE"/>
              </w:rPr>
              <w:t xml:space="preserve">      </w:t>
            </w:r>
            <w:r>
              <w:rPr>
                <w:rFonts w:hint="eastAsia"/>
              </w:rPr>
              <w:t>(</w:t>
            </w:r>
            <w:r>
              <w:rPr>
                <w:rFonts w:hint="eastAsia"/>
                <w:lang w:val="de-DE"/>
              </w:rPr>
              <w:t>行业认证标准</w:t>
            </w:r>
            <w:r>
              <w:rPr>
                <w:rFonts w:hint="eastAsia"/>
              </w:rPr>
              <w:t>)</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河北省石家庄市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物业服务范围内的保安、保洁、维修、绿化、办公的能源管理活动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2.10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22-25</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highlight w:val="none"/>
              </w:rPr>
              <w:t>有效至</w:t>
            </w:r>
            <w:r>
              <w:rPr>
                <w:rFonts w:hint="eastAsia"/>
                <w:highlight w:val="none"/>
                <w:lang w:val="en-US" w:eastAsia="zh-CN"/>
              </w:rPr>
              <w:t>2024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22</w:t>
            </w:r>
            <w:r>
              <w:rPr>
                <w:rFonts w:hint="eastAsia"/>
                <w:highlight w:val="none"/>
              </w:rPr>
              <w:t>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41"/>
        <w:gridCol w:w="636"/>
        <w:gridCol w:w="2337"/>
        <w:gridCol w:w="159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741" w:type="dxa"/>
            <w:shd w:val="clear" w:color="auto" w:fill="F3F3F3"/>
            <w:tcMar>
              <w:left w:w="57" w:type="dxa"/>
              <w:right w:w="57" w:type="dxa"/>
            </w:tcMar>
          </w:tcPr>
          <w:p>
            <w:r>
              <w:rPr>
                <w:rFonts w:hint="eastAsia"/>
              </w:rPr>
              <w:t>经营场所的地址</w:t>
            </w:r>
          </w:p>
          <w:p>
            <w:r>
              <w:rPr>
                <w:rFonts w:hint="eastAsia"/>
              </w:rPr>
              <w:t>（多现场和临时现场）</w:t>
            </w:r>
          </w:p>
        </w:tc>
        <w:tc>
          <w:tcPr>
            <w:tcW w:w="636" w:type="dxa"/>
            <w:shd w:val="clear" w:color="auto" w:fill="F3F3F3"/>
            <w:tcMar>
              <w:left w:w="57" w:type="dxa"/>
              <w:right w:w="57" w:type="dxa"/>
            </w:tcMar>
          </w:tcPr>
          <w:p>
            <w:r>
              <w:rPr>
                <w:rFonts w:hint="eastAsia"/>
              </w:rPr>
              <w:t>员工人数</w:t>
            </w:r>
          </w:p>
        </w:tc>
        <w:tc>
          <w:tcPr>
            <w:tcW w:w="2337"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59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安徽银通物业管理有限公司</w:t>
            </w:r>
            <w:r>
              <w:rPr>
                <w:rFonts w:hint="eastAsia"/>
                <w:sz w:val="21"/>
                <w:szCs w:val="21"/>
                <w:lang w:val="en-US" w:eastAsia="zh-CN"/>
              </w:rPr>
              <w:t>/</w:t>
            </w:r>
            <w:r>
              <w:rPr>
                <w:rFonts w:asciiTheme="minorEastAsia" w:hAnsiTheme="minorEastAsia" w:eastAsiaTheme="minorEastAsia"/>
                <w:sz w:val="20"/>
              </w:rPr>
              <w:t>安徽省合肥市长江中路130号</w:t>
            </w:r>
          </w:p>
        </w:tc>
        <w:tc>
          <w:tcPr>
            <w:tcW w:w="1741" w:type="dxa"/>
          </w:tcPr>
          <w:p>
            <w:pPr>
              <w:rPr>
                <w:lang w:val="de-DE" w:eastAsia="ja-JP"/>
              </w:rPr>
            </w:pPr>
            <w:bookmarkStart w:id="31" w:name="生产地址"/>
            <w:r>
              <w:rPr>
                <w:rFonts w:asciiTheme="minorEastAsia" w:hAnsiTheme="minorEastAsia" w:eastAsiaTheme="minorEastAsia"/>
                <w:sz w:val="20"/>
              </w:rPr>
              <w:t>安徽省合肥市蜀山区繁华大道紫御府小区5号楼2楼</w:t>
            </w:r>
            <w:bookmarkEnd w:id="31"/>
          </w:p>
        </w:tc>
        <w:tc>
          <w:tcPr>
            <w:tcW w:w="636" w:type="dxa"/>
            <w:vAlign w:val="center"/>
          </w:tcPr>
          <w:p>
            <w:pPr>
              <w:rPr>
                <w:rFonts w:hint="default" w:eastAsia="宋体"/>
                <w:lang w:val="en-US" w:eastAsia="zh-CN"/>
              </w:rPr>
            </w:pPr>
            <w:r>
              <w:rPr>
                <w:rFonts w:hint="eastAsia"/>
                <w:lang w:val="en-US" w:eastAsia="zh-CN"/>
              </w:rPr>
              <w:t>36人</w:t>
            </w:r>
          </w:p>
        </w:tc>
        <w:tc>
          <w:tcPr>
            <w:tcW w:w="2337" w:type="dxa"/>
            <w:vAlign w:val="center"/>
          </w:tcPr>
          <w:p>
            <w:pPr>
              <w:rPr>
                <w:lang w:eastAsia="ja-JP"/>
              </w:rPr>
            </w:pPr>
            <w:r>
              <w:rPr>
                <w:sz w:val="20"/>
              </w:rPr>
              <w:t>物业服务范围内的保安、保洁、维修、绿化、办公的能源管理活动</w:t>
            </w:r>
          </w:p>
        </w:tc>
        <w:tc>
          <w:tcPr>
            <w:tcW w:w="1596" w:type="dxa"/>
            <w:vAlign w:val="center"/>
          </w:tcPr>
          <w:p>
            <w:pPr>
              <w:rPr>
                <w:rFonts w:hint="eastAsia"/>
                <w:lang w:val="en-US" w:eastAsia="zh-CN"/>
              </w:rPr>
            </w:pPr>
            <w:r>
              <w:rPr>
                <w:rFonts w:hint="eastAsia"/>
                <w:lang w:val="en-US" w:eastAsia="zh-CN"/>
              </w:rPr>
              <w:t>GB/T23331-2020;</w:t>
            </w:r>
          </w:p>
          <w:p>
            <w:pPr>
              <w:rPr>
                <w:rFonts w:hint="default" w:eastAsia="宋体"/>
                <w:lang w:val="en-US" w:eastAsia="zh-CN"/>
              </w:rPr>
            </w:pPr>
            <w:r>
              <w:rPr>
                <w:rFonts w:hint="eastAsia"/>
                <w:lang w:val="en-US" w:eastAsia="zh-CN"/>
              </w:rPr>
              <w:t>RB/T107-2013</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rFonts w:hint="eastAsia" w:eastAsia="宋体"/>
                <w:lang w:val="en-US" w:eastAsia="zh-CN"/>
              </w:rPr>
            </w:pPr>
          </w:p>
        </w:tc>
        <w:tc>
          <w:tcPr>
            <w:tcW w:w="1741" w:type="dxa"/>
            <w:vAlign w:val="center"/>
          </w:tcPr>
          <w:p>
            <w:pPr>
              <w:rPr>
                <w:lang w:eastAsia="ja-JP"/>
              </w:rPr>
            </w:pPr>
          </w:p>
        </w:tc>
        <w:tc>
          <w:tcPr>
            <w:tcW w:w="636" w:type="dxa"/>
            <w:vAlign w:val="center"/>
          </w:tcPr>
          <w:p>
            <w:pPr>
              <w:rPr>
                <w:lang w:eastAsia="ja-JP"/>
              </w:rPr>
            </w:pPr>
          </w:p>
        </w:tc>
        <w:tc>
          <w:tcPr>
            <w:tcW w:w="2337" w:type="dxa"/>
            <w:vAlign w:val="center"/>
          </w:tcPr>
          <w:p>
            <w:pPr>
              <w:rPr>
                <w:lang w:eastAsia="ja-JP"/>
              </w:rPr>
            </w:pPr>
          </w:p>
        </w:tc>
        <w:tc>
          <w:tcPr>
            <w:tcW w:w="159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741" w:type="dxa"/>
            <w:vAlign w:val="center"/>
          </w:tcPr>
          <w:p>
            <w:pPr>
              <w:rPr>
                <w:lang w:eastAsia="ja-JP"/>
              </w:rPr>
            </w:pPr>
          </w:p>
        </w:tc>
        <w:tc>
          <w:tcPr>
            <w:tcW w:w="636" w:type="dxa"/>
            <w:vAlign w:val="center"/>
          </w:tcPr>
          <w:p>
            <w:pPr>
              <w:rPr>
                <w:lang w:eastAsia="ja-JP"/>
              </w:rPr>
            </w:pPr>
          </w:p>
        </w:tc>
        <w:tc>
          <w:tcPr>
            <w:tcW w:w="2337" w:type="dxa"/>
            <w:vAlign w:val="center"/>
          </w:tcPr>
          <w:p>
            <w:pPr>
              <w:rPr>
                <w:lang w:eastAsia="ja-JP"/>
              </w:rPr>
            </w:pPr>
          </w:p>
        </w:tc>
        <w:tc>
          <w:tcPr>
            <w:tcW w:w="159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741" w:type="dxa"/>
            <w:vAlign w:val="center"/>
          </w:tcPr>
          <w:p>
            <w:pPr>
              <w:rPr>
                <w:lang w:eastAsia="ja-JP"/>
              </w:rPr>
            </w:pPr>
          </w:p>
        </w:tc>
        <w:tc>
          <w:tcPr>
            <w:tcW w:w="636" w:type="dxa"/>
            <w:vAlign w:val="center"/>
          </w:tcPr>
          <w:p>
            <w:pPr>
              <w:rPr>
                <w:lang w:eastAsia="ja-JP"/>
              </w:rPr>
            </w:pPr>
          </w:p>
        </w:tc>
        <w:tc>
          <w:tcPr>
            <w:tcW w:w="2337" w:type="dxa"/>
            <w:vAlign w:val="center"/>
          </w:tcPr>
          <w:p>
            <w:pPr>
              <w:rPr>
                <w:lang w:eastAsia="ja-JP"/>
              </w:rPr>
            </w:pPr>
          </w:p>
        </w:tc>
        <w:tc>
          <w:tcPr>
            <w:tcW w:w="159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741" w:type="dxa"/>
            <w:vAlign w:val="center"/>
          </w:tcPr>
          <w:p>
            <w:pPr>
              <w:rPr>
                <w:lang w:eastAsia="ja-JP"/>
              </w:rPr>
            </w:pPr>
          </w:p>
        </w:tc>
        <w:tc>
          <w:tcPr>
            <w:tcW w:w="636" w:type="dxa"/>
            <w:vAlign w:val="center"/>
          </w:tcPr>
          <w:p>
            <w:pPr>
              <w:rPr>
                <w:lang w:eastAsia="ja-JP"/>
              </w:rPr>
            </w:pPr>
          </w:p>
        </w:tc>
        <w:tc>
          <w:tcPr>
            <w:tcW w:w="2337" w:type="dxa"/>
            <w:vAlign w:val="center"/>
          </w:tcPr>
          <w:p>
            <w:pPr>
              <w:rPr>
                <w:lang w:eastAsia="ja-JP"/>
              </w:rPr>
            </w:pPr>
          </w:p>
        </w:tc>
        <w:tc>
          <w:tcPr>
            <w:tcW w:w="1596"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（见□QMS □EcMS□EMS□OHSMS</w:t>
      </w:r>
      <w:r>
        <w:rPr>
          <w:rFonts w:hint="eastAsia"/>
        </w:rPr>
        <w:sym w:font="Wingdings 2" w:char="0052"/>
      </w:r>
      <w:r>
        <w:rPr>
          <w:rFonts w:hint="eastAsia"/>
        </w:rPr>
        <w:t>EnMS□FSMS□HACCP的附件）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EnMS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1"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0"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1312" behindDoc="0" locked="0" layoutInCell="1" allowOverlap="1">
                  <wp:simplePos x="0" y="0"/>
                  <wp:positionH relativeFrom="column">
                    <wp:posOffset>-288290</wp:posOffset>
                  </wp:positionH>
                  <wp:positionV relativeFrom="paragraph">
                    <wp:posOffset>5080</wp:posOffset>
                  </wp:positionV>
                  <wp:extent cx="673100" cy="274955"/>
                  <wp:effectExtent l="0" t="0" r="0" b="3810"/>
                  <wp:wrapSquare wrapText="bothSides"/>
                  <wp:docPr id="3" name="图片 3"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丽英电子签"/>
                          <pic:cNvPicPr>
                            <a:picLocks noChangeAspect="1"/>
                          </pic:cNvPicPr>
                        </pic:nvPicPr>
                        <pic:blipFill>
                          <a:blip r:embed="rId7"/>
                          <a:stretch>
                            <a:fillRect/>
                          </a:stretch>
                        </pic:blipFill>
                        <pic:spPr>
                          <a:xfrm>
                            <a:off x="0" y="0"/>
                            <a:ext cx="673100" cy="27495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2022.10.25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pPr>
        <w:pStyle w:val="14"/>
      </w:pPr>
    </w:p>
    <w:p>
      <w:pPr>
        <w:pStyle w:val="14"/>
      </w:pPr>
    </w:p>
    <w:p>
      <w:pPr>
        <w:pStyle w:val="14"/>
      </w:pPr>
    </w:p>
    <w:p>
      <w:pPr>
        <w:pStyle w:val="14"/>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EnMS体系</w:t>
            </w:r>
            <w:r>
              <w:rPr>
                <w:rFonts w:hint="eastAsia"/>
                <w:lang w:val="en-US" w:eastAsia="zh-CN"/>
              </w:rPr>
              <w:t xml:space="preserve"> </w:t>
            </w:r>
            <w:r>
              <w:rPr>
                <w:rFonts w:hint="eastAsia"/>
              </w:rPr>
              <w:sym w:font="Wingdings 2" w:char="00A3"/>
            </w:r>
            <w:r>
              <w:rPr>
                <w:rFonts w:hint="eastAsia"/>
              </w:rPr>
              <w:t>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节约资源□满足限额要求</w:t>
            </w:r>
            <w:r>
              <w:rPr>
                <w:rFonts w:hint="eastAsia"/>
              </w:rPr>
              <w:sym w:font="Wingdings 2" w:char="0052"/>
            </w:r>
            <w:r>
              <w:rPr>
                <w:rFonts w:hint="eastAsia"/>
              </w:rPr>
              <w:t>主要用能设备管理□能耗测量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rPr>
                <w:rFonts w:hint="default" w:eastAsia="宋体"/>
                <w:lang w:val="en-US" w:eastAsia="zh-CN"/>
              </w:rPr>
            </w:pPr>
            <w:r>
              <w:rPr>
                <w:rFonts w:hint="eastAsia"/>
              </w:rPr>
              <w:t>□生产/服务过程</w:t>
            </w:r>
            <w:r>
              <w:rPr>
                <w:rFonts w:hint="eastAsia"/>
              </w:rPr>
              <w:sym w:font="Wingdings 2" w:char="00A3"/>
            </w:r>
            <w:r>
              <w:rPr>
                <w:rFonts w:hint="eastAsia"/>
              </w:rPr>
              <w:t>能效监测</w:t>
            </w:r>
            <w:r>
              <w:rPr>
                <w:rFonts w:hint="eastAsia"/>
              </w:rPr>
              <w:sym w:font="Wingdings 2" w:char="00A3"/>
            </w:r>
            <w:r>
              <w:rPr>
                <w:rFonts w:hint="eastAsia"/>
              </w:rPr>
              <w:t>设备维修□人员培训</w:t>
            </w:r>
            <w:r>
              <w:rPr>
                <w:rFonts w:hint="eastAsia"/>
              </w:rPr>
              <w:sym w:font="Wingdings 2" w:char="0052"/>
            </w:r>
            <w:r>
              <w:rPr>
                <w:rFonts w:hint="eastAsia"/>
              </w:rPr>
              <w:t>其他</w:t>
            </w:r>
            <w:r>
              <w:rPr>
                <w:rFonts w:hint="eastAsia"/>
                <w:lang w:val="en-US" w:eastAsia="zh-CN"/>
              </w:rPr>
              <w:t>产品运输</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rPr>
                <w:rFonts w:hint="eastAsia" w:ascii="Times New Roman" w:hAnsi="Times New Roman" w:eastAsia="宋体" w:cs="Times New Roman"/>
                <w:b/>
                <w:bCs/>
              </w:rPr>
            </w:pPr>
            <w:r>
              <w:rPr>
                <w:rFonts w:hint="eastAsia"/>
              </w:rPr>
              <w:t>最高管理者制定了文件化的管理体系方针：</w:t>
            </w:r>
            <w:r>
              <w:rPr>
                <w:sz w:val="28"/>
                <w:szCs w:val="28"/>
              </w:rPr>
              <w:t xml:space="preserve"> </w:t>
            </w:r>
            <w:r>
              <w:rPr>
                <w:rFonts w:hint="eastAsia" w:ascii="Times New Roman" w:hAnsi="Times New Roman" w:eastAsia="宋体" w:cs="Times New Roman"/>
                <w:b/>
                <w:bCs/>
                <w:lang w:val="zh-CN"/>
              </w:rPr>
              <w:t>守法创新，节能降耗，绿色低碳，持续改进</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val="en-US" w:eastAsia="zh-CN"/>
              </w:rPr>
              <w:t xml:space="preserve">行政人事部   </w:t>
            </w:r>
            <w:r>
              <w:rPr>
                <w:rFonts w:hint="eastAsia"/>
              </w:rPr>
              <w:sym w:font="Wingdings 2" w:char="0052"/>
            </w:r>
            <w:r>
              <w:rPr>
                <w:rFonts w:hint="eastAsia"/>
              </w:rPr>
              <w:t>能源管理团队</w:t>
            </w:r>
            <w:r>
              <w:rPr>
                <w:rFonts w:hint="eastAsia"/>
                <w:lang w:eastAsia="zh-CN"/>
              </w:rPr>
              <w:t>——</w:t>
            </w:r>
            <w:r>
              <w:rPr>
                <w:rFonts w:hint="eastAsia"/>
                <w:lang w:val="en-US" w:eastAsia="zh-CN"/>
              </w:rPr>
              <w:t>物业部</w:t>
            </w:r>
          </w:p>
          <w:p>
            <w:pPr>
              <w:shd w:val="clear" w:color="auto" w:fill="EBF1DE" w:themeFill="accent3" w:themeFillTint="32"/>
              <w:rPr>
                <w:rFonts w:hint="eastAsia" w:eastAsia="宋体"/>
                <w:lang w:val="en-US" w:eastAsia="zh-CN"/>
              </w:rPr>
            </w:pPr>
            <w:r>
              <w:rPr>
                <w:rFonts w:hint="eastAsia"/>
              </w:rPr>
              <w:t>能源管理者代表是——</w:t>
            </w:r>
            <w:r>
              <w:rPr>
                <w:rFonts w:hint="eastAsia"/>
                <w:lang w:val="en-US" w:eastAsia="zh-CN"/>
              </w:rPr>
              <w:t>王月兰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及时更新掌握法律部法规的变化，进行合规性评价</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能源供应的中断</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及时了解供方的生产经营情况，寻求备用能源</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□蒸汽</w:t>
            </w:r>
            <w:r>
              <w:rPr>
                <w:rFonts w:hint="eastAsia"/>
              </w:rPr>
              <w:sym w:font="Wingdings 2" w:char="00A3"/>
            </w:r>
            <w:r>
              <w:rPr>
                <w:rFonts w:hint="eastAsia"/>
              </w:rPr>
              <w:t>天然气□燃料油□燃料气</w:t>
            </w:r>
            <w:r>
              <w:rPr>
                <w:rFonts w:hint="eastAsia"/>
              </w:rPr>
              <w:sym w:font="Wingdings 2" w:char="0052"/>
            </w:r>
            <w:r>
              <w:rPr>
                <w:rFonts w:hint="eastAsia"/>
              </w:rPr>
              <w:t>电力□氮气□风</w:t>
            </w:r>
            <w:r>
              <w:rPr>
                <w:rFonts w:hint="eastAsia"/>
              </w:rPr>
              <w:sym w:font="Wingdings 2" w:char="0052"/>
            </w:r>
            <w:r>
              <w:rPr>
                <w:rFonts w:hint="eastAsia"/>
              </w:rPr>
              <w:t>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rPr>
              <w:sym w:font="Wingdings 2" w:char="0052"/>
            </w:r>
            <w:r>
              <w:rPr>
                <w:rFonts w:hint="eastAsia"/>
              </w:rPr>
              <w:t>单位</w:t>
            </w:r>
            <w:r>
              <w:rPr>
                <w:rFonts w:hint="eastAsia"/>
                <w:lang w:val="en-US" w:eastAsia="zh-CN"/>
              </w:rPr>
              <w:t>面积</w:t>
            </w:r>
            <w:r>
              <w:rPr>
                <w:rFonts w:hint="eastAsia"/>
              </w:rPr>
              <w:t>综合能耗</w:t>
            </w:r>
            <w:r>
              <w:rPr>
                <w:rFonts w:hint="eastAsia"/>
              </w:rPr>
              <w:sym w:font="Wingdings 2" w:char="0052"/>
            </w:r>
            <w:r>
              <w:rPr>
                <w:rFonts w:hint="eastAsia"/>
              </w:rPr>
              <w:t>能源消费总量□单位产品蒸汽消耗□单位产品燃料气消耗□加热炉热效率□其他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能源评审编号/日期：</w:t>
            </w:r>
            <w:r>
              <w:rPr>
                <w:rFonts w:hint="eastAsia"/>
                <w:lang w:val="en-US" w:eastAsia="zh-CN"/>
              </w:rPr>
              <w:t>2022.1</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rPr>
              <w:sym w:font="Wingdings 2" w:char="0052"/>
            </w:r>
            <w:r>
              <w:rPr>
                <w:rFonts w:hint="eastAsia"/>
              </w:rPr>
              <w:t>能源计量管理</w:t>
            </w:r>
            <w:r>
              <w:rPr>
                <w:rFonts w:hint="eastAsia"/>
              </w:rPr>
              <w:sym w:font="Wingdings 2" w:char="0052"/>
            </w:r>
            <w:r>
              <w:rPr>
                <w:rFonts w:hint="eastAsia"/>
              </w:rPr>
              <w:t>使用节能设备</w:t>
            </w:r>
            <w:r>
              <w:rPr>
                <w:rFonts w:hint="eastAsia"/>
              </w:rPr>
              <w:sym w:font="Wingdings 2" w:char="0052"/>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354"/>
              <w:gridCol w:w="1589"/>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2354"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589"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2317"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pStyle w:val="27"/>
                    <w:widowControl w:val="0"/>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公司单位面积综合能耗为：11kgce/m</w:t>
                  </w:r>
                  <w:r>
                    <w:rPr>
                      <w:rFonts w:hint="eastAsia" w:ascii="Times New Roman" w:hAnsi="Times New Roman" w:eastAsia="宋体" w:cs="Times New Roman"/>
                      <w:color w:val="auto"/>
                      <w:spacing w:val="0"/>
                      <w:kern w:val="2"/>
                      <w:sz w:val="21"/>
                      <w:szCs w:val="24"/>
                      <w:highlight w:val="none"/>
                      <w:vertAlign w:val="superscript"/>
                      <w:lang w:val="en-US" w:eastAsia="zh-CN" w:bidi="ar-SA"/>
                    </w:rPr>
                    <w:t>2</w:t>
                  </w:r>
                  <w:r>
                    <w:rPr>
                      <w:rFonts w:hint="eastAsia" w:ascii="Times New Roman" w:hAnsi="Times New Roman" w:eastAsia="宋体" w:cs="Times New Roman"/>
                      <w:color w:val="auto"/>
                      <w:spacing w:val="0"/>
                      <w:kern w:val="2"/>
                      <w:sz w:val="21"/>
                      <w:szCs w:val="24"/>
                      <w:highlight w:val="none"/>
                      <w:lang w:val="en-US" w:eastAsia="zh-CN" w:bidi="ar-SA"/>
                    </w:rPr>
                    <w:t>.年；</w:t>
                  </w:r>
                </w:p>
              </w:tc>
              <w:tc>
                <w:tcPr>
                  <w:tcW w:w="2354" w:type="dxa"/>
                  <w:vMerge w:val="restart"/>
                  <w:shd w:val="clear" w:color="auto" w:fill="auto"/>
                  <w:vAlign w:val="center"/>
                </w:tcPr>
                <w:p>
                  <w:pPr>
                    <w:shd w:val="clear" w:color="auto" w:fill="EBF1DE" w:themeFill="accent3" w:themeFillTint="32"/>
                    <w:rPr>
                      <w:rFonts w:hint="default" w:ascii="宋体" w:hAnsi="宋体"/>
                      <w:lang w:val="en-US"/>
                    </w:rPr>
                  </w:pPr>
                  <w:r>
                    <w:rPr>
                      <w:rFonts w:hint="eastAsia"/>
                      <w:color w:val="auto"/>
                      <w:szCs w:val="24"/>
                      <w:highlight w:val="none"/>
                      <w:lang w:val="en-US" w:eastAsia="zh-CN"/>
                    </w:rPr>
                    <w:t>加强用能管理，对主要耗能设备定期进行维护保养，确保正常运行</w:t>
                  </w:r>
                </w:p>
              </w:tc>
              <w:tc>
                <w:tcPr>
                  <w:tcW w:w="1589" w:type="dxa"/>
                  <w:shd w:val="clear" w:color="auto" w:fill="auto"/>
                  <w:vAlign w:val="center"/>
                </w:tcPr>
                <w:p>
                  <w:pPr>
                    <w:shd w:val="clear" w:color="auto" w:fill="EBF1DE" w:themeFill="accent3" w:themeFillTint="32"/>
                    <w:rPr>
                      <w:rFonts w:ascii="宋体" w:hAnsi="宋体"/>
                    </w:rPr>
                  </w:pPr>
                  <w:r>
                    <w:rPr>
                      <w:rFonts w:hint="eastAsia"/>
                      <w:lang w:val="en-US" w:eastAsia="zh-CN"/>
                    </w:rPr>
                    <w:t>物业部</w:t>
                  </w:r>
                </w:p>
              </w:tc>
              <w:tc>
                <w:tcPr>
                  <w:tcW w:w="2317" w:type="dxa"/>
                  <w:shd w:val="clear" w:color="auto" w:fill="auto"/>
                  <w:vAlign w:val="center"/>
                </w:tcPr>
                <w:p>
                  <w:pPr>
                    <w:shd w:val="clear" w:color="auto" w:fill="EBF1DE" w:themeFill="accent3" w:themeFillTint="32"/>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10.07kgce/m</w:t>
                  </w:r>
                  <w:r>
                    <w:rPr>
                      <w:rFonts w:hint="eastAsia" w:ascii="Times New Roman" w:hAnsi="Times New Roman" w:eastAsia="宋体" w:cs="Times New Roman"/>
                      <w:color w:val="auto"/>
                      <w:spacing w:val="0"/>
                      <w:kern w:val="2"/>
                      <w:sz w:val="21"/>
                      <w:szCs w:val="24"/>
                      <w:highlight w:val="none"/>
                      <w:vertAlign w:val="superscript"/>
                      <w:lang w:val="en-US" w:eastAsia="zh-CN" w:bidi="ar-SA"/>
                    </w:rPr>
                    <w:t>2</w:t>
                  </w:r>
                  <w:r>
                    <w:rPr>
                      <w:rFonts w:hint="eastAsia" w:ascii="Times New Roman" w:hAnsi="Times New Roman" w:eastAsia="宋体" w:cs="Times New Roman"/>
                      <w:color w:val="auto"/>
                      <w:spacing w:val="0"/>
                      <w:kern w:val="2"/>
                      <w:sz w:val="21"/>
                      <w:szCs w:val="24"/>
                      <w:highlight w:val="none"/>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紫御府小区单位面积综合能耗为：0.45kgce/m</w:t>
                  </w:r>
                  <w:r>
                    <w:rPr>
                      <w:rFonts w:hint="eastAsia" w:ascii="Times New Roman" w:hAnsi="Times New Roman" w:eastAsia="宋体" w:cs="Times New Roman"/>
                      <w:color w:val="auto"/>
                      <w:spacing w:val="0"/>
                      <w:kern w:val="2"/>
                      <w:sz w:val="21"/>
                      <w:szCs w:val="24"/>
                      <w:highlight w:val="none"/>
                      <w:vertAlign w:val="superscript"/>
                      <w:lang w:val="en-US" w:eastAsia="zh-CN" w:bidi="ar-SA"/>
                    </w:rPr>
                    <w:t>2</w:t>
                  </w:r>
                  <w:r>
                    <w:rPr>
                      <w:rFonts w:hint="eastAsia" w:ascii="Times New Roman" w:hAnsi="Times New Roman" w:eastAsia="宋体" w:cs="Times New Roman"/>
                      <w:color w:val="auto"/>
                      <w:spacing w:val="0"/>
                      <w:kern w:val="2"/>
                      <w:sz w:val="21"/>
                      <w:szCs w:val="24"/>
                      <w:highlight w:val="none"/>
                      <w:lang w:val="en-US" w:eastAsia="zh-CN" w:bidi="ar-SA"/>
                    </w:rPr>
                    <w:t>.年</w:t>
                  </w:r>
                </w:p>
              </w:tc>
              <w:tc>
                <w:tcPr>
                  <w:tcW w:w="2354" w:type="dxa"/>
                  <w:vMerge w:val="continue"/>
                  <w:tcBorders/>
                  <w:shd w:val="clear" w:color="auto" w:fill="auto"/>
                  <w:vAlign w:val="center"/>
                </w:tcPr>
                <w:p>
                  <w:pPr>
                    <w:shd w:val="clear" w:color="auto" w:fill="EBF1DE" w:themeFill="accent3" w:themeFillTint="32"/>
                    <w:rPr>
                      <w:rFonts w:ascii="宋体" w:hAnsi="宋体"/>
                    </w:rPr>
                  </w:pPr>
                </w:p>
              </w:tc>
              <w:tc>
                <w:tcPr>
                  <w:tcW w:w="1589" w:type="dxa"/>
                  <w:shd w:val="clear" w:color="auto" w:fill="auto"/>
                  <w:vAlign w:val="center"/>
                </w:tcPr>
                <w:p>
                  <w:pPr>
                    <w:shd w:val="clear" w:color="auto" w:fill="EBF1DE" w:themeFill="accent3" w:themeFillTint="32"/>
                    <w:rPr>
                      <w:rFonts w:ascii="宋体" w:hAnsi="宋体"/>
                    </w:rPr>
                  </w:pPr>
                  <w:r>
                    <w:rPr>
                      <w:rFonts w:hint="eastAsia"/>
                      <w:lang w:val="en-US" w:eastAsia="zh-CN"/>
                    </w:rPr>
                    <w:t>物业部/项目部</w:t>
                  </w:r>
                </w:p>
              </w:tc>
              <w:tc>
                <w:tcPr>
                  <w:tcW w:w="2317" w:type="dxa"/>
                  <w:shd w:val="clear" w:color="auto" w:fill="auto"/>
                  <w:vAlign w:val="center"/>
                </w:tcPr>
                <w:p>
                  <w:pPr>
                    <w:shd w:val="clear" w:color="auto" w:fill="EBF1DE" w:themeFill="accent3" w:themeFillTint="32"/>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0.426kgce/m</w:t>
                  </w:r>
                  <w:r>
                    <w:rPr>
                      <w:rFonts w:hint="eastAsia" w:ascii="Times New Roman" w:hAnsi="Times New Roman" w:eastAsia="宋体" w:cs="Times New Roman"/>
                      <w:color w:val="auto"/>
                      <w:spacing w:val="0"/>
                      <w:kern w:val="2"/>
                      <w:sz w:val="21"/>
                      <w:szCs w:val="24"/>
                      <w:highlight w:val="none"/>
                      <w:vertAlign w:val="superscript"/>
                      <w:lang w:val="en-US" w:eastAsia="zh-CN" w:bidi="ar-SA"/>
                    </w:rPr>
                    <w:t>2</w:t>
                  </w:r>
                  <w:r>
                    <w:rPr>
                      <w:rFonts w:hint="eastAsia" w:ascii="Times New Roman" w:hAnsi="Times New Roman" w:eastAsia="宋体" w:cs="Times New Roman"/>
                      <w:color w:val="auto"/>
                      <w:spacing w:val="0"/>
                      <w:kern w:val="2"/>
                      <w:sz w:val="21"/>
                      <w:szCs w:val="24"/>
                      <w:highlight w:val="none"/>
                      <w:lang w:val="en-US" w:eastAsia="zh-CN" w:bidi="ar-SA"/>
                    </w:rPr>
                    <w:t>.年</w:t>
                  </w:r>
                </w:p>
              </w:tc>
            </w:tr>
          </w:tbl>
          <w:p>
            <w:pPr>
              <w:shd w:val="clear" w:color="auto" w:fill="EBF1DE" w:themeFill="accent3" w:themeFillTint="32"/>
            </w:pPr>
            <w:r>
              <w:rPr>
                <w:rFonts w:hint="eastAsia" w:ascii="Wingdings" w:hAnsi="Wingdings"/>
                <w:lang w:eastAsia="zh-CN"/>
              </w:rPr>
              <w:sym w:font="Wingdings 2" w:char="00A3"/>
            </w:r>
            <w:r>
              <w:rPr>
                <w:rFonts w:hint="eastAsia"/>
              </w:rPr>
              <w:t>目标已实现</w:t>
            </w:r>
          </w:p>
          <w:p>
            <w:pPr>
              <w:shd w:val="clear" w:color="auto" w:fill="EBF1DE" w:themeFill="accent3" w:themeFillTint="32"/>
            </w:pPr>
            <w:r>
              <w:rPr>
                <w:rFonts w:hint="eastAsia" w:ascii="Wingdings" w:hAnsi="Wingdings"/>
                <w:lang w:eastAsia="zh-CN"/>
              </w:rPr>
              <w:sym w:font="Wingdings 2" w:char="0052"/>
            </w:r>
            <w:r>
              <w:rPr>
                <w:rFonts w:hint="eastAsia"/>
              </w:rPr>
              <w:t>目标没有实现，组织在内部进行</w:t>
            </w:r>
            <w:r>
              <w:rPr>
                <w:rFonts w:hint="eastAsia"/>
                <w:lang w:val="en-US" w:eastAsia="zh-CN"/>
              </w:rPr>
              <w:t>了</w:t>
            </w:r>
            <w:r>
              <w:rPr>
                <w:rFonts w:hint="eastAsia"/>
              </w:rPr>
              <w:t>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highlight w:val="none"/>
              </w:rPr>
            </w:pPr>
            <w:r>
              <w:rPr>
                <w:rFonts w:hint="eastAsia"/>
                <w:highlight w:val="none"/>
                <w:lang w:val="en-US" w:eastAsia="zh-CN"/>
              </w:rPr>
              <w:t>项目建筑面积107735.53</w:t>
            </w:r>
            <w:r>
              <w:rPr>
                <w:rFonts w:hint="eastAsia"/>
                <w:highlight w:val="none"/>
              </w:rPr>
              <w:t>平方米；</w:t>
            </w:r>
            <w:r>
              <w:rPr>
                <w:rFonts w:hint="eastAsia"/>
                <w:highlight w:val="none"/>
                <w:lang w:val="en-US" w:eastAsia="zh-CN"/>
              </w:rPr>
              <w:t>公司办公面积312平米，</w:t>
            </w:r>
            <w:r>
              <w:rPr>
                <w:rFonts w:hint="eastAsia"/>
                <w:highlight w:val="none"/>
              </w:rPr>
              <w:t>库房</w:t>
            </w:r>
            <w:r>
              <w:rPr>
                <w:rFonts w:hint="eastAsia"/>
                <w:highlight w:val="none"/>
                <w:lang w:val="en-US" w:eastAsia="zh-CN"/>
              </w:rPr>
              <w:t>1</w:t>
            </w:r>
            <w:r>
              <w:rPr>
                <w:rFonts w:hint="eastAsia"/>
                <w:highlight w:val="none"/>
              </w:rPr>
              <w:t>个；</w:t>
            </w:r>
          </w:p>
          <w:p>
            <w:pPr>
              <w:shd w:val="clear" w:color="auto" w:fill="EBF1DE" w:themeFill="accent3" w:themeFillTint="32"/>
              <w:rPr>
                <w:u w:val="single"/>
              </w:rPr>
            </w:pPr>
            <w:r>
              <w:rPr>
                <w:rFonts w:hint="eastAsia"/>
              </w:rPr>
              <w:t>主要生产设备有：</w:t>
            </w:r>
            <w:r>
              <w:rPr>
                <w:rFonts w:hint="eastAsia"/>
                <w:u w:val="single"/>
                <w:lang w:val="en-US" w:eastAsia="zh-CN"/>
              </w:rPr>
              <w:t>消防泵、</w:t>
            </w:r>
            <w:r>
              <w:rPr>
                <w:rFonts w:hint="eastAsia"/>
                <w:color w:val="000000"/>
                <w:szCs w:val="22"/>
                <w:u w:val="single"/>
                <w:lang w:val="en-US" w:eastAsia="zh-CN"/>
              </w:rPr>
              <w:t>电梯</w:t>
            </w:r>
            <w:r>
              <w:rPr>
                <w:rFonts w:hint="eastAsia"/>
                <w:color w:val="000000"/>
                <w:szCs w:val="22"/>
                <w:u w:val="single"/>
              </w:rPr>
              <w:t>、</w:t>
            </w:r>
            <w:r>
              <w:rPr>
                <w:rFonts w:hint="eastAsia"/>
                <w:color w:val="000000"/>
                <w:szCs w:val="22"/>
                <w:u w:val="single"/>
                <w:lang w:val="en-US" w:eastAsia="zh-CN"/>
              </w:rPr>
              <w:t>水泵</w:t>
            </w:r>
            <w:r>
              <w:rPr>
                <w:rFonts w:hint="eastAsia"/>
                <w:color w:val="000000"/>
                <w:szCs w:val="22"/>
                <w:u w:val="single"/>
              </w:rPr>
              <w:t>、</w:t>
            </w:r>
            <w:r>
              <w:rPr>
                <w:rFonts w:hint="eastAsia"/>
                <w:color w:val="000000"/>
                <w:szCs w:val="22"/>
                <w:u w:val="single"/>
                <w:lang w:val="en-US" w:eastAsia="zh-CN"/>
              </w:rPr>
              <w:t>照明</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u w:val="single"/>
                <w:lang w:val="en-US" w:eastAsia="zh-CN"/>
              </w:rPr>
              <w:t>消防泵、</w:t>
            </w:r>
            <w:r>
              <w:rPr>
                <w:rFonts w:hint="eastAsia"/>
                <w:color w:val="000000"/>
                <w:szCs w:val="22"/>
                <w:u w:val="single"/>
                <w:lang w:val="en-US" w:eastAsia="zh-CN"/>
              </w:rPr>
              <w:t>电梯</w:t>
            </w:r>
            <w:r>
              <w:rPr>
                <w:rFonts w:hint="eastAsia"/>
                <w:color w:val="000000"/>
                <w:szCs w:val="22"/>
                <w:u w:val="single"/>
              </w:rPr>
              <w:t>、</w:t>
            </w:r>
            <w:r>
              <w:rPr>
                <w:rFonts w:hint="eastAsia"/>
                <w:color w:val="000000"/>
                <w:szCs w:val="22"/>
                <w:u w:val="single"/>
                <w:lang w:val="en-US" w:eastAsia="zh-CN"/>
              </w:rPr>
              <w:t>水泵</w:t>
            </w:r>
            <w:r>
              <w:rPr>
                <w:rFonts w:hint="eastAsia"/>
                <w:color w:val="000000"/>
                <w:szCs w:val="22"/>
                <w:u w:val="single"/>
              </w:rPr>
              <w:t>、</w:t>
            </w:r>
            <w:r>
              <w:rPr>
                <w:rFonts w:hint="eastAsia"/>
                <w:color w:val="000000"/>
                <w:szCs w:val="22"/>
                <w:u w:val="single"/>
                <w:lang w:val="en-US" w:eastAsia="zh-CN"/>
              </w:rPr>
              <w:t>照明</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p>
          <w:p>
            <w:pPr>
              <w:shd w:val="clear" w:color="auto" w:fill="EBF1DE" w:themeFill="accent3" w:themeFillTint="32"/>
              <w:rPr>
                <w:rFonts w:hint="default" w:eastAsia="宋体"/>
                <w:lang w:val="en-US" w:eastAsia="zh-CN"/>
              </w:rPr>
            </w:pPr>
            <w:r>
              <w:rPr>
                <w:rFonts w:hint="eastAsia"/>
              </w:rPr>
              <w:t>辅助场所：</w:t>
            </w:r>
            <w:r>
              <w:rPr>
                <w:rFonts w:hint="eastAsia" w:ascii="Wingdings" w:hAnsi="Wingdings"/>
                <w:lang w:eastAsia="zh-CN"/>
              </w:rPr>
              <w:sym w:font="Wingdings 2" w:char="00A3"/>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sym w:font="Wingdings 2" w:char="00A3"/>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sym w:font="Wingdings 2" w:char="00A3"/>
            </w:r>
            <w:r>
              <w:rPr>
                <w:rFonts w:hint="eastAsia"/>
              </w:rPr>
              <w:t>食堂</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消防系统</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能源计量器具有：</w:t>
            </w:r>
            <w:r>
              <w:rPr>
                <w:rFonts w:hint="eastAsia"/>
                <w:u w:val="single"/>
                <w:lang w:val="en-US" w:eastAsia="zh-CN"/>
              </w:rPr>
              <w:t>电表、水表</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lang w:eastAsia="zh-CN"/>
              </w:rPr>
              <w:sym w:font="Wingdings 2" w:char="00A3"/>
            </w:r>
            <w:r>
              <w:rPr>
                <w:rFonts w:hint="eastAsia"/>
              </w:rPr>
              <w:t>进行了定期校准/检定</w:t>
            </w:r>
            <w:r>
              <w:rPr>
                <w:rFonts w:hint="eastAsia" w:ascii="Wingdings" w:hAnsi="Wingdings"/>
                <w:lang w:eastAsia="zh-CN"/>
              </w:rPr>
              <w:sym w:font="Wingdings 2" w:char="0052"/>
            </w:r>
            <w:r>
              <w:rPr>
                <w:rFonts w:hint="eastAsia"/>
                <w:color w:val="auto"/>
              </w:rPr>
              <w:t>未进行定期校准/检定的有：</w:t>
            </w:r>
            <w:r>
              <w:rPr>
                <w:rFonts w:hint="eastAsia"/>
                <w:color w:val="auto"/>
                <w:lang w:val="en-US" w:eastAsia="zh-CN"/>
              </w:rPr>
              <w:t>电力公司提供的电表、供水公司提供的流量计。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t>□</w:t>
            </w:r>
            <w:r>
              <w:rPr>
                <w:rFonts w:hint="eastAsia"/>
                <w:color w:val="auto"/>
              </w:rPr>
              <w:t>操作规程</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t>□</w:t>
            </w:r>
            <w:r>
              <w:rPr>
                <w:rFonts w:hint="eastAsia"/>
                <w:color w:val="auto"/>
              </w:rPr>
              <w:t>工艺卡片</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sym w:font="Wingdings 2" w:char="0052"/>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cs="Times New Roman"/>
                <w:highlight w:val="none"/>
                <w:u w:val="single"/>
                <w:lang w:val="en-US" w:eastAsia="zh-CN"/>
              </w:rPr>
              <w:t>无</w:t>
            </w:r>
            <w:r>
              <w:rPr>
                <w:rFonts w:hint="eastAsia"/>
                <w:u w:val="single"/>
              </w:rPr>
              <w:t>（</w:t>
            </w:r>
            <w:r>
              <w:rPr>
                <w:rFonts w:hint="eastAsia"/>
              </w:rPr>
              <w:t>举1例）</w:t>
            </w:r>
          </w:p>
          <w:p>
            <w:pPr>
              <w:shd w:val="clear" w:color="auto" w:fill="EBF1DE" w:themeFill="accent3" w:themeFillTint="32"/>
            </w:pPr>
            <w:r>
              <w:rPr>
                <w:rFonts w:hint="eastAsia"/>
              </w:rPr>
              <w:t>对该设计和开发的项目</w:t>
            </w:r>
            <w:r>
              <w:rPr>
                <w:rFonts w:hint="eastAsia"/>
                <w:lang w:val="en-US" w:eastAsia="zh-CN"/>
              </w:rPr>
              <w:t>不需要</w:t>
            </w:r>
            <w:r>
              <w:rPr>
                <w:rFonts w:hint="eastAsia"/>
              </w:rPr>
              <w:t>节能评估。</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能源采购</w:t>
            </w:r>
            <w:r>
              <w:rPr>
                <w:rFonts w:hint="eastAsia" w:ascii="Wingdings" w:hAnsi="Wingdings"/>
                <w:lang w:eastAsia="zh-CN"/>
              </w:rPr>
              <w:sym w:font="Wingdings 2" w:char="00A3"/>
            </w:r>
            <w:r>
              <w:rPr>
                <w:rFonts w:hint="eastAsia"/>
              </w:rPr>
              <w:t>主要用能设备采购</w:t>
            </w:r>
            <w:r>
              <w:rPr>
                <w:rFonts w:hint="eastAsia" w:ascii="Wingdings" w:hAnsi="Wingdings"/>
                <w:lang w:eastAsia="zh-CN"/>
              </w:rPr>
              <w:t>□</w:t>
            </w:r>
            <w:r>
              <w:rPr>
                <w:rFonts w:hint="eastAsia"/>
              </w:rPr>
              <w:t>淘汰落后设备更新</w:t>
            </w:r>
            <w:r>
              <w:rPr>
                <w:rFonts w:hint="eastAsia" w:ascii="Wingdings" w:hAnsi="Wingdings"/>
                <w:lang w:eastAsia="zh-CN"/>
              </w:rPr>
              <w:t>□</w:t>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p>
              </w:tc>
              <w:tc>
                <w:tcPr>
                  <w:tcW w:w="3665" w:type="dxa"/>
                </w:tcPr>
                <w:p>
                  <w:pPr>
                    <w:shd w:val="clear" w:color="auto" w:fill="EBF1DE" w:themeFill="accent3" w:themeFillTint="32"/>
                    <w:jc w:val="left"/>
                    <w:rPr>
                      <w:rFonts w:hint="default" w:eastAsia="宋体"/>
                      <w:lang w:val="en-US" w:eastAsia="zh-CN"/>
                    </w:rPr>
                  </w:pPr>
                </w:p>
              </w:tc>
              <w:tc>
                <w:tcPr>
                  <w:tcW w:w="3265" w:type="dxa"/>
                </w:tcPr>
                <w:p>
                  <w:pPr>
                    <w:shd w:val="clear" w:color="auto" w:fill="EBF1DE" w:themeFill="accent3"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加强节电管理,用电设备的管理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rPr>
                <w:rFonts w:hint="eastAsia" w:eastAsia="宋体"/>
                <w:lang w:val="en-US" w:eastAsia="zh-CN"/>
              </w:rPr>
            </w:pPr>
            <w:r>
              <w:rPr>
                <w:rFonts w:hint="eastAsia"/>
              </w:rPr>
              <w:t>对生产和服务提供过程的节能改进措施控制</w:t>
            </w:r>
            <w:r>
              <w:rPr>
                <w:rFonts w:hint="eastAsia" w:ascii="Wingdings" w:hAnsi="Wingdings"/>
                <w:lang w:eastAsia="zh-CN"/>
              </w:rPr>
              <w:sym w:font="Wingdings 2" w:char="00A3"/>
            </w:r>
            <w:r>
              <w:rPr>
                <w:rFonts w:hint="eastAsia"/>
              </w:rPr>
              <w:t>符合要求</w:t>
            </w:r>
            <w:r>
              <w:rPr>
                <w:rFonts w:hint="eastAsia" w:ascii="Wingdings" w:hAnsi="Wingdings"/>
                <w:lang w:eastAsia="zh-CN"/>
              </w:rPr>
              <w:sym w:font="Wingdings 2" w:char="00A3"/>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highlight w:val="none"/>
                <w:lang w:val="en-US" w:eastAsia="zh-CN"/>
              </w:rPr>
              <w:t>2022</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8</w:t>
            </w:r>
            <w:r>
              <w:rPr>
                <w:rFonts w:hint="eastAsia"/>
                <w:highlight w:val="none"/>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rPr>
                <w:rFonts w:hint="default"/>
                <w:lang w:val="en-US" w:eastAsia="zh-CN"/>
              </w:rPr>
            </w:pPr>
            <w:r>
              <w:rPr>
                <w:rFonts w:hint="eastAsia"/>
              </w:rPr>
              <w:t>《能效测试报告》编号：</w:t>
            </w:r>
            <w:r>
              <w:rPr>
                <w:rFonts w:hint="eastAsia"/>
                <w:lang w:val="en-US" w:eastAsia="zh-CN"/>
              </w:rPr>
              <w:t>企业无主要用能设备，不需开展</w:t>
            </w:r>
            <w:bookmarkStart w:id="35" w:name="_GoBack"/>
            <w:bookmarkEnd w:id="35"/>
            <w:r>
              <w:rPr>
                <w:rFonts w:hint="eastAsia"/>
                <w:lang w:val="en-US" w:eastAsia="zh-CN"/>
              </w:rPr>
              <w:t>能效测试</w:t>
            </w:r>
          </w:p>
          <w:p>
            <w:pPr>
              <w:shd w:val="clear" w:color="auto" w:fill="EBF1DE" w:themeFill="accent3" w:themeFillTint="32"/>
            </w:pPr>
            <w:r>
              <w:rPr>
                <w:rFonts w:hint="eastAsia"/>
              </w:rPr>
              <w:t>达标评价：</w:t>
            </w:r>
            <w:r>
              <w:rPr>
                <w:rFonts w:hint="eastAsia" w:ascii="Times New Roman" w:hAnsi="Times New Roman" w:eastAsia="宋体" w:cs="Times New Roman"/>
                <w:lang w:eastAsia="zh-CN"/>
              </w:rPr>
              <w:sym w:font="Wingdings 2" w:char="00A3"/>
            </w:r>
            <w:r>
              <w:rPr>
                <w:rFonts w:hint="eastAsia" w:ascii="Times New Roman" w:hAnsi="Times New Roman" w:eastAsia="宋体" w:cs="Times New Roman"/>
              </w:rPr>
              <w:t>符合要求</w:t>
            </w:r>
            <w:r>
              <w:rPr>
                <w:rFonts w:hint="eastAsia" w:ascii="Wingdings" w:hAnsi="Wingdings"/>
                <w:lang w:eastAsia="zh-CN"/>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3-4</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52"/>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27</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rPr>
              <w:t>10</w:t>
            </w: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10.2</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1462030A"/>
    <w:multiLevelType w:val="singleLevel"/>
    <w:tmpl w:val="1462030A"/>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4AE33A4"/>
    <w:rsid w:val="2A8C4836"/>
    <w:rsid w:val="2A973FEB"/>
    <w:rsid w:val="47B2781C"/>
    <w:rsid w:val="56111D76"/>
    <w:rsid w:val="712D72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qFormat/>
    <w:uiPriority w:val="0"/>
    <w:rPr>
      <w:sz w:val="24"/>
    </w:rPr>
  </w:style>
  <w:style w:type="paragraph" w:styleId="4">
    <w:name w:val="List Bullet 5"/>
    <w:basedOn w:val="1"/>
    <w:semiHidden/>
    <w:unhideWhenUsed/>
    <w:uiPriority w:val="99"/>
    <w:pPr>
      <w:numPr>
        <w:ilvl w:val="0"/>
        <w:numId w:val="1"/>
      </w:numPr>
    </w:p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3</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2022-10-25T16:19:16Z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