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257"/>
        <w:gridCol w:w="1063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3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财务部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顾才生  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邹景红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Merge w:val="continue"/>
            <w:vAlign w:val="center"/>
          </w:tcPr>
          <w:p/>
        </w:tc>
        <w:tc>
          <w:tcPr>
            <w:tcW w:w="1257" w:type="dxa"/>
            <w:vMerge w:val="continue"/>
            <w:vAlign w:val="center"/>
          </w:tcPr>
          <w:p/>
        </w:tc>
        <w:tc>
          <w:tcPr>
            <w:tcW w:w="1063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eastAsia="宋体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 w:eastAsia="宋体"/>
                <w:sz w:val="24"/>
                <w:szCs w:val="24"/>
              </w:rPr>
              <w:t>2023年02月22日</w:t>
            </w:r>
            <w:bookmarkEnd w:id="1"/>
          </w:p>
        </w:tc>
        <w:tc>
          <w:tcPr>
            <w:tcW w:w="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Merge w:val="continue"/>
            <w:vAlign w:val="center"/>
          </w:tcPr>
          <w:p/>
        </w:tc>
        <w:tc>
          <w:tcPr>
            <w:tcW w:w="1257" w:type="dxa"/>
            <w:vMerge w:val="continue"/>
            <w:vAlign w:val="center"/>
          </w:tcPr>
          <w:p/>
        </w:tc>
        <w:tc>
          <w:tcPr>
            <w:tcW w:w="1063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05" w:rightChars="50"/>
              <w:textAlignment w:val="baseline"/>
              <w:rPr>
                <w:rFonts w:hint="default" w:ascii="宋体" w:hAnsi="宋体" w:eastAsia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18"/>
                <w:szCs w:val="18"/>
              </w:rPr>
              <w:t>Q:5.3组织的岗位、职责和权限、6.2质量目标</w:t>
            </w:r>
            <w:r>
              <w:rPr>
                <w:rFonts w:hint="eastAsia" w:ascii="宋体" w:hAnsi="宋体" w:eastAsia="宋体" w:cs="Arial"/>
                <w:spacing w:val="-6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18"/>
                <w:szCs w:val="18"/>
                <w:lang w:val="en-US" w:eastAsia="zh-CN"/>
              </w:rPr>
              <w:t>7.1资源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-6"/>
                <w:sz w:val="18"/>
                <w:szCs w:val="18"/>
              </w:rPr>
              <w:t>E/O:5.3组织的岗位、职责和权限、6.2环境/职业健康安全目标、6.1.2环境因素/危险源的识别与评价、6.1.4措施的策划、8.1运行策划和控制、</w:t>
            </w:r>
            <w:r>
              <w:rPr>
                <w:rFonts w:hint="eastAsia" w:ascii="宋体" w:hAnsi="宋体" w:eastAsia="宋体" w:cs="Arial"/>
                <w:spacing w:val="-6"/>
                <w:sz w:val="18"/>
                <w:szCs w:val="18"/>
                <w:lang w:val="en-US" w:eastAsia="zh-CN"/>
              </w:rPr>
              <w:t>7.1资源、</w:t>
            </w:r>
            <w:r>
              <w:rPr>
                <w:rFonts w:hint="eastAsia" w:ascii="宋体" w:hAnsi="宋体" w:eastAsia="宋体" w:cs="Arial"/>
                <w:spacing w:val="-6"/>
                <w:sz w:val="18"/>
                <w:szCs w:val="18"/>
              </w:rPr>
              <w:t>8.2应急准备和响应</w:t>
            </w:r>
          </w:p>
        </w:tc>
        <w:tc>
          <w:tcPr>
            <w:tcW w:w="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257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财务部现有2人，部长1人，出纳1人；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主要负责资金管理；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部门环境因素、危险源的识别、评价及控制。</w:t>
            </w:r>
          </w:p>
        </w:tc>
        <w:tc>
          <w:tcPr>
            <w:tcW w:w="95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257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查见“质量\环境\职业健康安全目标分解考核表”，见财务部的目标：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触电、火灾事故为0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固废分类处置率100%；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资金提供及时率100%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2022年1-12月考核，显示目标均已</w:t>
            </w:r>
            <w:r>
              <w:rPr>
                <w:rFonts w:hint="eastAsia"/>
                <w:color w:val="auto"/>
                <w:lang w:val="en-US" w:eastAsia="zh-CN"/>
              </w:rPr>
              <w:t>全部完成。</w:t>
            </w:r>
          </w:p>
          <w:p>
            <w:pPr>
              <w:pStyle w:val="3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95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2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中的生活垃圾的处置不当污染环境、办公场所吸烟污染环境、复印机打印机废墨盒处置污染环境、火灾发生后污染大气、水土等进行了辨识和评价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采取打分法评价，查到“重要环境因素清单”，</w:t>
            </w:r>
            <w:r>
              <w:rPr>
                <w:rFonts w:hint="eastAsia"/>
                <w:color w:val="auto"/>
                <w:lang w:val="en-US" w:eastAsia="zh-CN"/>
              </w:rPr>
              <w:t>经评价财务部无重要环境因素。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查“危害辨识、风险评价、风险控制工作表”，辨识和评价了办公活动过程中的危险源，主要包括火灾、触电、车辆伤害、中暑等。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对识别出的危险源采取D=LEC进行评价，查到“不可接受风险清单”，</w:t>
            </w:r>
            <w:r>
              <w:rPr>
                <w:rFonts w:hint="eastAsia"/>
                <w:color w:val="auto"/>
                <w:lang w:val="en-US" w:eastAsia="zh-CN"/>
              </w:rPr>
              <w:t>经评价财务部无不可接受风险。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策划了控制措施，制订了“质量、环境、职业健康安全管理方案”，明确了控制措施、时间要求、责任部门、责任和资源计划。</w:t>
            </w:r>
          </w:p>
        </w:tc>
        <w:tc>
          <w:tcPr>
            <w:tcW w:w="95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</w:t>
            </w:r>
          </w:p>
        </w:tc>
        <w:tc>
          <w:tcPr>
            <w:tcW w:w="125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QEO:7.1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提供安全环保经费清单，2022年共计投入资金116500元，用于环境、安全教育费、劳保用品、社保、垃圾处理费、消防用品等；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基本能满足要求。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2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环境因素和危险源识别评价与控制程序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环境和职业健康安全法律法规控制程序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运行控制程序、废弃物控制程序、噪声控制程序、消防控制程序、设备控制程序、劳动防护用品控制程序、化学品油品控制程序、资源能源控制程序、应急准备和响应控制程序、事故调查处理控制程序、工艺作业指导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查见配置有灭火器、消防栓，状态良好，保留检查</w:t>
            </w:r>
            <w:r>
              <w:rPr>
                <w:rFonts w:hint="eastAsia"/>
                <w:color w:val="auto"/>
                <w:lang w:val="en-US" w:eastAsia="zh-CN"/>
              </w:rPr>
              <w:t>记录；监控摄像头运行正常；应急疏散指示符合</w:t>
            </w:r>
            <w:r>
              <w:rPr>
                <w:rFonts w:hint="eastAsia"/>
                <w:lang w:val="en-US" w:eastAsia="zh-CN"/>
              </w:rPr>
              <w:t>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办公用固废集中回收，园区环卫部门收集处理；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办公用墨盒硒鼓等危废以旧换新。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0000FF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3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2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552050A1"/>
    <w:rsid w:val="67670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1114</Words>
  <Characters>1209</Characters>
  <Lines>1</Lines>
  <Paragraphs>1</Paragraphs>
  <TotalTime>8</TotalTime>
  <ScaleCrop>false</ScaleCrop>
  <LinksUpToDate>false</LinksUpToDate>
  <CharactersWithSpaces>1260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2023-02-22T06:57:04Z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EE318DB9C16F465D9AAE538072C7D717</vt:lpwstr>
  </property>
  <property fmtid="{D5CDD505-2E9C-101B-9397-08002B2CF9AE}" pid="3" name="KSOProductBuildVer">
    <vt:lpwstr>2052-11.1.0.12980</vt:lpwstr>
  </property>
</Properties>
</file>