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CAF" w14:textId="77777777"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DF525C" w14:paraId="3B9C0976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7D7AC98" w14:textId="77777777"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38052959" w14:textId="77777777"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91004EA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69946B9" w14:textId="22E62CA2" w:rsidR="00DF525C" w:rsidRPr="00DF525C" w:rsidRDefault="00613D91" w:rsidP="0019747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FF7768" w:rsidRPr="00FF7768">
              <w:rPr>
                <w:rFonts w:ascii="宋体" w:hAnsi="宋体" w:hint="eastAsia"/>
                <w:sz w:val="24"/>
              </w:rPr>
              <w:t>徐义和</w:t>
            </w:r>
          </w:p>
        </w:tc>
        <w:tc>
          <w:tcPr>
            <w:tcW w:w="1585" w:type="dxa"/>
            <w:vMerge w:val="restart"/>
            <w:vAlign w:val="center"/>
          </w:tcPr>
          <w:p w14:paraId="313AE626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14:paraId="5AD8D4DB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6C23BC8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05280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0ADDF81B" w14:textId="7C29B756"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0D38AD">
              <w:rPr>
                <w:rFonts w:eastAsiaTheme="minorEastAsia"/>
                <w:sz w:val="24"/>
                <w:szCs w:val="24"/>
              </w:rPr>
              <w:t>10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FF776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14:paraId="0083C994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14:paraId="08B17905" w14:textId="77777777" w:rsidTr="007E7C0E">
        <w:trPr>
          <w:trHeight w:val="1672"/>
        </w:trPr>
        <w:tc>
          <w:tcPr>
            <w:tcW w:w="1242" w:type="dxa"/>
            <w:vMerge/>
            <w:vAlign w:val="center"/>
          </w:tcPr>
          <w:p w14:paraId="4B6AC833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8F2E62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1F347FC" w14:textId="77777777"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2D1D54FB" w14:textId="77777777" w:rsidR="003658B7" w:rsidRDefault="003C7AB8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 /OMS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运行策划和控制，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14:paraId="5951F122" w14:textId="77777777" w:rsidR="00821BCF" w:rsidRPr="00821BCF" w:rsidRDefault="00821BCF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379C77E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14:paraId="5E9E07DA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B7C77F4" w14:textId="77777777"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14:paraId="11129BE4" w14:textId="77777777" w:rsidR="00E55A36" w:rsidRPr="00E55A36" w:rsidRDefault="004E0AC3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14:paraId="11F341EA" w14:textId="2CDD84D9" w:rsidR="00E949E7" w:rsidRPr="00E949E7" w:rsidRDefault="003C7AB8" w:rsidP="00E949E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proofErr w:type="gramStart"/>
            <w:r w:rsidR="00E949E7" w:rsidRPr="00E949E7">
              <w:rPr>
                <w:rFonts w:eastAsiaTheme="minorEastAsia" w:hAnsiTheme="minorEastAsia" w:hint="eastAsia"/>
                <w:sz w:val="24"/>
                <w:szCs w:val="24"/>
              </w:rPr>
              <w:t>部现有</w:t>
            </w:r>
            <w:proofErr w:type="gramEnd"/>
            <w:r w:rsidR="000D38AD"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</w:t>
            </w:r>
            <w:r w:rsidR="000D38AD" w:rsidRPr="00E949E7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FF7768" w:rsidRPr="00FF7768">
              <w:rPr>
                <w:rFonts w:ascii="宋体" w:hAnsi="宋体" w:hint="eastAsia"/>
                <w:sz w:val="24"/>
              </w:rPr>
              <w:t>徐义</w:t>
            </w:r>
            <w:proofErr w:type="gramStart"/>
            <w:r w:rsidR="00FF7768" w:rsidRPr="00FF7768">
              <w:rPr>
                <w:rFonts w:ascii="宋体" w:hAnsi="宋体" w:hint="eastAsia"/>
                <w:sz w:val="24"/>
              </w:rPr>
              <w:t>和</w:t>
            </w:r>
            <w:proofErr w:type="gramEnd"/>
          </w:p>
          <w:p w14:paraId="18974E2F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介绍说，部门主要负责数据分析、财务管理工作，组织编制财务管理制度；制定财务预算，进行帐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处理和财务决算，组织编制会计报表及成本分析，财务分析报告；负责资金筹措与调度、资金结算、成本核算；组织制定财务预算，进行帐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处理和财务决算，组织编制会计报表及成本分析，财务分析报告；组织工资核算，审核发放清单。</w:t>
            </w:r>
          </w:p>
          <w:p w14:paraId="3F0B750C" w14:textId="7F9F1093" w:rsidR="00E55A36" w:rsidRPr="00DF525C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14:paraId="359635E3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14:paraId="2DBD58E8" w14:textId="77777777" w:rsidTr="006A1CCA">
        <w:trPr>
          <w:trHeight w:val="547"/>
        </w:trPr>
        <w:tc>
          <w:tcPr>
            <w:tcW w:w="1242" w:type="dxa"/>
            <w:vAlign w:val="center"/>
          </w:tcPr>
          <w:p w14:paraId="6FA00D7C" w14:textId="77777777" w:rsidR="00E55A36" w:rsidRDefault="00821BCF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划</w:t>
            </w:r>
          </w:p>
        </w:tc>
        <w:tc>
          <w:tcPr>
            <w:tcW w:w="1276" w:type="dxa"/>
            <w:vAlign w:val="center"/>
          </w:tcPr>
          <w:p w14:paraId="6A323F56" w14:textId="77777777" w:rsidR="00E55A36" w:rsidRDefault="004E0AC3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14:paraId="18C2BFF2" w14:textId="77777777" w:rsidR="002A7F12" w:rsidRPr="004C4EB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024A7777" w14:textId="77777777" w:rsidR="002A7F12" w:rsidRPr="004C4EB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财务部主要目标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14:paraId="49A82B4B" w14:textId="07E1216E" w:rsidR="004C4EB2" w:rsidRPr="004C4EB2" w:rsidRDefault="004C4EB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财务制度执行率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5391AC7E" w14:textId="500D9C9F" w:rsidR="004C4EB2" w:rsidRPr="004C4EB2" w:rsidRDefault="004C4EB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财务核算和核算准确率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16934C38" w14:textId="3783F224" w:rsidR="004C4EB2" w:rsidRPr="004C4EB2" w:rsidRDefault="004C4EB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3.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火灾、触电事故为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14:paraId="7795CE4A" w14:textId="77777777" w:rsidR="004C4EB2" w:rsidRPr="004C4EB2" w:rsidRDefault="004C4EB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061B7668" w14:textId="44E6495F" w:rsidR="004C4EB2" w:rsidRPr="004C4EB2" w:rsidRDefault="004C4EB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环保、安全资金提供及时率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571F39CE" w14:textId="0F0D239A" w:rsidR="002A7F12" w:rsidRPr="004C4EB2" w:rsidRDefault="002A7F12" w:rsidP="004C4EB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查见目标指标管理方案，见对重要环境因素和不可接受风险建立了管理方案，明确了控制措施、责任部门、责任人；</w:t>
            </w:r>
          </w:p>
          <w:p w14:paraId="646F4DC2" w14:textId="167BC256" w:rsidR="00A6564D" w:rsidRPr="00686476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C4EB2" w:rsidRPr="004C4EB2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4C4EB2" w:rsidRPr="004C4EB2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4C4EB2">
              <w:rPr>
                <w:rFonts w:eastAsiaTheme="minorEastAsia" w:hAnsiTheme="minorEastAsia" w:hint="eastAsia"/>
                <w:sz w:val="24"/>
                <w:szCs w:val="24"/>
              </w:rPr>
              <w:t>月，考核目标均已全部完成。</w:t>
            </w:r>
          </w:p>
        </w:tc>
        <w:tc>
          <w:tcPr>
            <w:tcW w:w="1585" w:type="dxa"/>
          </w:tcPr>
          <w:p w14:paraId="1D06ECF6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7B443CA0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4089751" w14:textId="77777777" w:rsidR="00A13B08" w:rsidRDefault="00821BCF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14:paraId="68A1F2DD" w14:textId="77777777"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EEC77" w14:textId="77777777"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821BCF">
              <w:rPr>
                <w:rFonts w:eastAsiaTheme="minorEastAsia" w:hint="eastAsia"/>
                <w:sz w:val="24"/>
                <w:szCs w:val="24"/>
              </w:rPr>
              <w:t>：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14:paraId="13F2657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552ACCE9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6603E23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3E09E3BF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1C72DDB9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02E5A3EA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公司有环境因素和危险源识别评价与控制程序，有效文件。</w:t>
            </w:r>
          </w:p>
          <w:p w14:paraId="3ECDFDBB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14:paraId="7F8BD1D6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查到《重要环境因素清单》已识别重要环境因素包括：潜在火灾、固废排放等，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明确控制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措施和责任部门，基本合理。</w:t>
            </w:r>
          </w:p>
          <w:p w14:paraId="31FE0CF5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14:paraId="7A43E38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源采取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进行评价。</w:t>
            </w:r>
          </w:p>
          <w:p w14:paraId="197D7C2E" w14:textId="3812D0B9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查《不可接受风险清单》，评价本部门的有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个不可接受风险，包括：触电、火灾的发生等。</w:t>
            </w:r>
          </w:p>
          <w:p w14:paraId="7E11B02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主要控制措施：应急预案、配备消防器材、日常检查、培训教育等运行控制措施等。</w:t>
            </w:r>
          </w:p>
          <w:p w14:paraId="5E5B8AC9" w14:textId="07A0826C" w:rsidR="00C2621F" w:rsidRPr="00821BCF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8E81A42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821BCF" w:rsidRPr="00DF525C" w14:paraId="05ACAE8A" w14:textId="77777777" w:rsidTr="001021F8">
        <w:trPr>
          <w:trHeight w:val="715"/>
        </w:trPr>
        <w:tc>
          <w:tcPr>
            <w:tcW w:w="1242" w:type="dxa"/>
            <w:vAlign w:val="center"/>
          </w:tcPr>
          <w:p w14:paraId="7CFB49DE" w14:textId="77777777" w:rsidR="00821BCF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</w:t>
            </w:r>
          </w:p>
          <w:p w14:paraId="770A7495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6E7CDB01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0C3A15C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B2241E8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409D6980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03D6C0A3" w14:textId="71E51B47" w:rsidR="002A7F12" w:rsidRDefault="002A7F12" w:rsidP="00DB500D">
            <w:pPr>
              <w:snapToGrid w:val="0"/>
              <w:spacing w:line="360" w:lineRule="auto"/>
              <w:jc w:val="center"/>
            </w:pP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14:paraId="60A8E017" w14:textId="77777777" w:rsidR="00821BCF" w:rsidRDefault="00821BCF" w:rsidP="00821BC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/>
                <w:sz w:val="24"/>
                <w:szCs w:val="24"/>
              </w:rPr>
              <w:t>.1</w:t>
            </w:r>
          </w:p>
          <w:p w14:paraId="49A9B902" w14:textId="77777777" w:rsidR="00821BCF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7984887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制订有环境因素和危险源识别评价与控制程序、废弃物控制程序、噪声控制程序、消防控制程序、资源能源控制程序、节约用水管理规定、垃圾管理规定、固体废弃物管理规定等。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14:paraId="6C740A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）废水管控：</w:t>
            </w:r>
          </w:p>
          <w:p w14:paraId="3ACB94B3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财务办公过程中不产生废水，生活废水排入办公大楼管网集中处理。</w:t>
            </w:r>
          </w:p>
          <w:p w14:paraId="2F1473DD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）废气管控：</w:t>
            </w:r>
          </w:p>
          <w:p w14:paraId="3EADC12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14:paraId="2AD79CCF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）噪声管控：</w:t>
            </w:r>
          </w:p>
          <w:p w14:paraId="2CA7680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办公过程基本无噪声。</w:t>
            </w:r>
          </w:p>
          <w:p w14:paraId="2D4F6C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固废管控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14:paraId="5B09EEC9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主要是办公固废的排放。财务部将墨盒硒鼓等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办公危废交行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政部统一处理一般是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交供应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商回收，其他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固废及生活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垃圾放在门口垃圾桶由大楼物业部门统一处理。</w:t>
            </w:r>
          </w:p>
          <w:p w14:paraId="271A741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3CE4F68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关灯，电脑要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后电源切断。</w:t>
            </w:r>
          </w:p>
          <w:p w14:paraId="36D2F7F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发生。</w:t>
            </w:r>
          </w:p>
          <w:p w14:paraId="567F3417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14:paraId="68FE3822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工作场所布局合理，员工有自我防护意识，工间能适当走动、休息；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14:paraId="7BBC7220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0773268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14:paraId="679A722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14:paraId="2B19D281" w14:textId="77777777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14:paraId="18AD6945" w14:textId="694DDCAD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月环境安全运行检查记录，检查结果均正常，检查人：</w:t>
            </w:r>
            <w:r w:rsidR="00FF7768" w:rsidRPr="00897489">
              <w:rPr>
                <w:rFonts w:eastAsiaTheme="minorEastAsia" w:hAnsiTheme="minorEastAsia" w:hint="eastAsia"/>
                <w:sz w:val="24"/>
                <w:szCs w:val="24"/>
              </w:rPr>
              <w:t>杨亮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4FAC3DB4" w14:textId="0D6BFBCC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="00197470" w:rsidRPr="00897489"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安</w:t>
            </w:r>
            <w:proofErr w:type="gramStart"/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环费用</w:t>
            </w:r>
            <w:proofErr w:type="gramEnd"/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统计表，</w:t>
            </w:r>
            <w:r w:rsidR="00197470" w:rsidRPr="00897489">
              <w:rPr>
                <w:rFonts w:eastAsiaTheme="minorEastAsia" w:hAnsiTheme="minorEastAsia" w:hint="eastAsia"/>
                <w:sz w:val="24"/>
                <w:szCs w:val="24"/>
              </w:rPr>
              <w:t>显示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总计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31</w:t>
            </w:r>
            <w:r w:rsidR="00FF7768" w:rsidRPr="0089748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FF7768" w:rsidRPr="00897489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万余元，主要包括、员工保险、培训费用、消防费用、劳保用品、垃圾处理、员工体检等。</w:t>
            </w:r>
          </w:p>
          <w:p w14:paraId="1DC800BA" w14:textId="6B9C3EEA" w:rsidR="002A7F12" w:rsidRPr="00897489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897489" w:rsidRPr="00897489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897489" w:rsidRPr="00897489"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月社保缴费</w:t>
            </w:r>
            <w:r w:rsidR="00897489" w:rsidRPr="00897489">
              <w:rPr>
                <w:rFonts w:eastAsiaTheme="minorEastAsia" w:hAnsiTheme="minorEastAsia" w:hint="eastAsia"/>
                <w:sz w:val="24"/>
                <w:szCs w:val="24"/>
              </w:rPr>
              <w:t>凭证</w:t>
            </w:r>
          </w:p>
          <w:p w14:paraId="7F773D5B" w14:textId="1B7C44D1" w:rsidR="00821BCF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7489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  <w:vAlign w:val="center"/>
          </w:tcPr>
          <w:p w14:paraId="1C79BF4D" w14:textId="77777777" w:rsidR="00821BCF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2A7F12" w:rsidRPr="00DF525C" w14:paraId="349BA352" w14:textId="77777777" w:rsidTr="002A7F12">
        <w:trPr>
          <w:trHeight w:val="1525"/>
        </w:trPr>
        <w:tc>
          <w:tcPr>
            <w:tcW w:w="1242" w:type="dxa"/>
            <w:vAlign w:val="center"/>
          </w:tcPr>
          <w:p w14:paraId="4CB09523" w14:textId="52E8085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 w14:paraId="2D56319D" w14:textId="2A95601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/>
                <w:sz w:val="24"/>
                <w:szCs w:val="24"/>
              </w:rPr>
              <w:t>EO8.2</w:t>
            </w:r>
          </w:p>
        </w:tc>
        <w:tc>
          <w:tcPr>
            <w:tcW w:w="10606" w:type="dxa"/>
          </w:tcPr>
          <w:p w14:paraId="0069D71F" w14:textId="08663A65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参加了由</w:t>
            </w:r>
            <w:r w:rsidR="00FF7768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组织的触电、火灾等应急救援演练。</w:t>
            </w:r>
          </w:p>
          <w:p w14:paraId="6BFC149E" w14:textId="24B2C736" w:rsidR="002A7F12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  <w:vAlign w:val="center"/>
          </w:tcPr>
          <w:p w14:paraId="40AFD56E" w14:textId="77777777" w:rsidR="002A7F12" w:rsidRDefault="002A7F12" w:rsidP="002A7F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</w:tbl>
    <w:p w14:paraId="51D549C5" w14:textId="77777777"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14:paraId="7E7BE141" w14:textId="77777777" w:rsidR="00C2621F" w:rsidRPr="00DF525C" w:rsidRDefault="00C2621F">
      <w:pPr>
        <w:rPr>
          <w:rFonts w:eastAsiaTheme="minorEastAsia"/>
        </w:rPr>
      </w:pPr>
    </w:p>
    <w:p w14:paraId="717D80E2" w14:textId="77777777" w:rsidR="00C2621F" w:rsidRPr="00DF525C" w:rsidRDefault="00C2621F">
      <w:pPr>
        <w:rPr>
          <w:rFonts w:eastAsiaTheme="minorEastAsia"/>
        </w:rPr>
      </w:pPr>
    </w:p>
    <w:p w14:paraId="76C64B1F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802C" w14:textId="77777777" w:rsidR="001D2CF4" w:rsidRDefault="001D2CF4" w:rsidP="004749F5">
      <w:r>
        <w:separator/>
      </w:r>
    </w:p>
  </w:endnote>
  <w:endnote w:type="continuationSeparator" w:id="0">
    <w:p w14:paraId="1D7F719E" w14:textId="77777777" w:rsidR="001D2CF4" w:rsidRDefault="001D2CF4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0FDBF713" w14:textId="77777777" w:rsidR="00C2621F" w:rsidRDefault="00D1045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A247C2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3FEC" w14:textId="77777777" w:rsidR="001D2CF4" w:rsidRDefault="001D2CF4" w:rsidP="004749F5">
      <w:r>
        <w:separator/>
      </w:r>
    </w:p>
  </w:footnote>
  <w:footnote w:type="continuationSeparator" w:id="0">
    <w:p w14:paraId="3DB48629" w14:textId="77777777" w:rsidR="001D2CF4" w:rsidRDefault="001D2CF4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9C8" w14:textId="77777777" w:rsidR="00D0164D" w:rsidRDefault="00D0164D" w:rsidP="001021F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CF983" wp14:editId="094CD0B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2F09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277917E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B3B388" w14:textId="77777777" w:rsidR="00D0164D" w:rsidRDefault="00D0164D" w:rsidP="001021F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DA21C13"/>
    <w:multiLevelType w:val="hybridMultilevel"/>
    <w:tmpl w:val="93CA18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4162715">
    <w:abstractNumId w:val="1"/>
  </w:num>
  <w:num w:numId="2" w16cid:durableId="1894467839">
    <w:abstractNumId w:val="3"/>
  </w:num>
  <w:num w:numId="3" w16cid:durableId="659846618">
    <w:abstractNumId w:val="2"/>
  </w:num>
  <w:num w:numId="4" w16cid:durableId="1440250840">
    <w:abstractNumId w:val="4"/>
  </w:num>
  <w:num w:numId="5" w16cid:durableId="2064208037">
    <w:abstractNumId w:val="5"/>
  </w:num>
  <w:num w:numId="6" w16cid:durableId="1316881586">
    <w:abstractNumId w:val="0"/>
  </w:num>
  <w:num w:numId="7" w16cid:durableId="2109884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118A3"/>
    <w:rsid w:val="0003544B"/>
    <w:rsid w:val="0003628E"/>
    <w:rsid w:val="00036BA3"/>
    <w:rsid w:val="000417AF"/>
    <w:rsid w:val="0004695D"/>
    <w:rsid w:val="00047B7D"/>
    <w:rsid w:val="00055989"/>
    <w:rsid w:val="00066CC7"/>
    <w:rsid w:val="0008705B"/>
    <w:rsid w:val="000A0FE8"/>
    <w:rsid w:val="000C3CF0"/>
    <w:rsid w:val="000C63B7"/>
    <w:rsid w:val="000D38AD"/>
    <w:rsid w:val="001021F8"/>
    <w:rsid w:val="00104529"/>
    <w:rsid w:val="00124B0C"/>
    <w:rsid w:val="0015545F"/>
    <w:rsid w:val="001673DC"/>
    <w:rsid w:val="00175433"/>
    <w:rsid w:val="00197470"/>
    <w:rsid w:val="001A0761"/>
    <w:rsid w:val="001A263F"/>
    <w:rsid w:val="001C5171"/>
    <w:rsid w:val="001C7D9E"/>
    <w:rsid w:val="001D2CF4"/>
    <w:rsid w:val="001F1007"/>
    <w:rsid w:val="00233BFF"/>
    <w:rsid w:val="0023427F"/>
    <w:rsid w:val="002571E6"/>
    <w:rsid w:val="00266D5D"/>
    <w:rsid w:val="002777BD"/>
    <w:rsid w:val="002A7F12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C38F0"/>
    <w:rsid w:val="003C5356"/>
    <w:rsid w:val="003C7AB8"/>
    <w:rsid w:val="004050D0"/>
    <w:rsid w:val="00422F73"/>
    <w:rsid w:val="00434681"/>
    <w:rsid w:val="00442DF0"/>
    <w:rsid w:val="004461C3"/>
    <w:rsid w:val="00447576"/>
    <w:rsid w:val="00450041"/>
    <w:rsid w:val="004611E0"/>
    <w:rsid w:val="0046783C"/>
    <w:rsid w:val="004749F5"/>
    <w:rsid w:val="004C3F2B"/>
    <w:rsid w:val="004C4EB2"/>
    <w:rsid w:val="004D1F7E"/>
    <w:rsid w:val="004E0AC3"/>
    <w:rsid w:val="004F035C"/>
    <w:rsid w:val="004F7207"/>
    <w:rsid w:val="005025A6"/>
    <w:rsid w:val="00510FC7"/>
    <w:rsid w:val="0051256B"/>
    <w:rsid w:val="00515623"/>
    <w:rsid w:val="005443B8"/>
    <w:rsid w:val="00553D63"/>
    <w:rsid w:val="00564A50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5612E"/>
    <w:rsid w:val="00662F27"/>
    <w:rsid w:val="00673DCF"/>
    <w:rsid w:val="00686476"/>
    <w:rsid w:val="00686D17"/>
    <w:rsid w:val="006871D7"/>
    <w:rsid w:val="00691BDB"/>
    <w:rsid w:val="00691D91"/>
    <w:rsid w:val="006A1CCA"/>
    <w:rsid w:val="006C00D7"/>
    <w:rsid w:val="006D1842"/>
    <w:rsid w:val="006D2E1D"/>
    <w:rsid w:val="006D64A6"/>
    <w:rsid w:val="006E27B2"/>
    <w:rsid w:val="006E2A1E"/>
    <w:rsid w:val="007130A4"/>
    <w:rsid w:val="007159F5"/>
    <w:rsid w:val="00723EDB"/>
    <w:rsid w:val="00797E55"/>
    <w:rsid w:val="007C588A"/>
    <w:rsid w:val="007D1899"/>
    <w:rsid w:val="007E7C0E"/>
    <w:rsid w:val="007F49A9"/>
    <w:rsid w:val="0080123E"/>
    <w:rsid w:val="00821BCF"/>
    <w:rsid w:val="008228DA"/>
    <w:rsid w:val="008306E2"/>
    <w:rsid w:val="008351A8"/>
    <w:rsid w:val="00843B27"/>
    <w:rsid w:val="008527AA"/>
    <w:rsid w:val="008647D3"/>
    <w:rsid w:val="0087035E"/>
    <w:rsid w:val="00897489"/>
    <w:rsid w:val="008C4C09"/>
    <w:rsid w:val="008E34C4"/>
    <w:rsid w:val="008E6F9C"/>
    <w:rsid w:val="008F5A57"/>
    <w:rsid w:val="0090107E"/>
    <w:rsid w:val="00904E3D"/>
    <w:rsid w:val="00912B74"/>
    <w:rsid w:val="009263DA"/>
    <w:rsid w:val="009453AB"/>
    <w:rsid w:val="00971F3E"/>
    <w:rsid w:val="00992364"/>
    <w:rsid w:val="0099711F"/>
    <w:rsid w:val="009C6152"/>
    <w:rsid w:val="009C7AAA"/>
    <w:rsid w:val="009E6088"/>
    <w:rsid w:val="00A13B08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D59EA"/>
    <w:rsid w:val="00AE1696"/>
    <w:rsid w:val="00AE3014"/>
    <w:rsid w:val="00B01C24"/>
    <w:rsid w:val="00B22A56"/>
    <w:rsid w:val="00B239B7"/>
    <w:rsid w:val="00B31A64"/>
    <w:rsid w:val="00B33983"/>
    <w:rsid w:val="00B54156"/>
    <w:rsid w:val="00B57D03"/>
    <w:rsid w:val="00B75E0A"/>
    <w:rsid w:val="00B76C19"/>
    <w:rsid w:val="00B81991"/>
    <w:rsid w:val="00B96A89"/>
    <w:rsid w:val="00BA61D5"/>
    <w:rsid w:val="00BB1867"/>
    <w:rsid w:val="00BB2369"/>
    <w:rsid w:val="00BB7131"/>
    <w:rsid w:val="00BC3DD8"/>
    <w:rsid w:val="00BD2AE3"/>
    <w:rsid w:val="00BE12D5"/>
    <w:rsid w:val="00BF761E"/>
    <w:rsid w:val="00C2621F"/>
    <w:rsid w:val="00C60904"/>
    <w:rsid w:val="00C94399"/>
    <w:rsid w:val="00CD55C7"/>
    <w:rsid w:val="00CE3B8F"/>
    <w:rsid w:val="00CE428E"/>
    <w:rsid w:val="00CE432E"/>
    <w:rsid w:val="00CE5C79"/>
    <w:rsid w:val="00D0164D"/>
    <w:rsid w:val="00D10453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B500D"/>
    <w:rsid w:val="00DC1AE7"/>
    <w:rsid w:val="00DD3F5E"/>
    <w:rsid w:val="00DD4990"/>
    <w:rsid w:val="00DE2769"/>
    <w:rsid w:val="00DF525C"/>
    <w:rsid w:val="00E103BE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F14853"/>
    <w:rsid w:val="00F1761F"/>
    <w:rsid w:val="00F50594"/>
    <w:rsid w:val="00F6222F"/>
    <w:rsid w:val="00F62776"/>
    <w:rsid w:val="00F8329B"/>
    <w:rsid w:val="00F90D5E"/>
    <w:rsid w:val="00FB075F"/>
    <w:rsid w:val="00FB51A0"/>
    <w:rsid w:val="00FB70F8"/>
    <w:rsid w:val="00FB7152"/>
    <w:rsid w:val="00FC2644"/>
    <w:rsid w:val="00FC33BD"/>
    <w:rsid w:val="00FC7081"/>
    <w:rsid w:val="00FD7107"/>
    <w:rsid w:val="00FE4B0A"/>
    <w:rsid w:val="00FF4D7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498C6F4A"/>
  <w15:docId w15:val="{51F485B5-64BA-41FB-AAE3-8E3032E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semiHidden/>
    <w:unhideWhenUsed/>
    <w:qFormat/>
    <w:rsid w:val="00564A50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semiHidden/>
    <w:rsid w:val="00564A5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92</cp:revision>
  <dcterms:created xsi:type="dcterms:W3CDTF">2015-06-17T12:51:00Z</dcterms:created>
  <dcterms:modified xsi:type="dcterms:W3CDTF">2022-10-22T01:30:00Z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