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-56515</wp:posOffset>
            </wp:positionH>
            <wp:positionV relativeFrom="paragraph">
              <wp:posOffset>120650</wp:posOffset>
            </wp:positionV>
            <wp:extent cx="6402705" cy="9056370"/>
            <wp:effectExtent l="0" t="0" r="10795" b="11430"/>
            <wp:wrapNone/>
            <wp:docPr id="1" name="图片 1" descr="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14"/>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河北永佳技术检测有限公司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0980-2021-QEO-2022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2019-N1QMS-3022240</w:t>
            </w:r>
          </w:p>
          <w:p>
            <w:pPr>
              <w:jc w:val="center"/>
              <w:rPr>
                <w:b w:val="0"/>
                <w:bCs w:val="0"/>
                <w:sz w:val="21"/>
                <w:szCs w:val="21"/>
                <w:lang w:val="de-DE"/>
              </w:rPr>
            </w:pPr>
            <w:r>
              <w:rPr>
                <w:b w:val="0"/>
                <w:bCs w:val="0"/>
                <w:sz w:val="21"/>
                <w:szCs w:val="21"/>
                <w:lang w:val="de-DE"/>
              </w:rPr>
              <w:t>2020-N1EMS-3022240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 w:name="KSO_WPS_MARK_KEY" w:val="bb678613-820c-4a8b-8092-e2919366aa0e"/>
  </w:docVars>
  <w:rsids>
    <w:rsidRoot w:val="00000000"/>
    <w:rsid w:val="35DA0E83"/>
    <w:rsid w:val="4FED7E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2022-10-21T02:37:51Z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