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18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美而特智能后勤服务有限公司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安徽省合肥市包河区金寨路118号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经营地址：合肥市包河区屯溪路435号省卫生健康委员会地下车库一层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rFonts w:hint="default"/>
                <w:sz w:val="21"/>
                <w:szCs w:val="21"/>
                <w:lang w:val="en-US"/>
              </w:rPr>
            </w:pPr>
            <w:bookmarkStart w:id="3" w:name="联系人"/>
            <w:r>
              <w:rPr>
                <w:rFonts w:hint="eastAsia"/>
                <w:sz w:val="21"/>
                <w:szCs w:val="21"/>
                <w:lang w:val="en-US" w:eastAsia="zh-CN"/>
              </w:rPr>
              <w:t>方</w:t>
            </w:r>
            <w:bookmarkEnd w:id="3"/>
            <w:r>
              <w:rPr>
                <w:rFonts w:hint="eastAsia"/>
                <w:sz w:val="21"/>
                <w:szCs w:val="21"/>
                <w:lang w:val="en-US" w:eastAsia="zh-CN"/>
              </w:rPr>
              <w:t>卉怡</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r>
              <w:rPr>
                <w:rFonts w:hint="eastAsia"/>
                <w:sz w:val="21"/>
                <w:szCs w:val="21"/>
              </w:rPr>
              <w:t>13615600214</w:t>
            </w:r>
          </w:p>
        </w:tc>
        <w:tc>
          <w:tcPr>
            <w:tcW w:w="974" w:type="dxa"/>
            <w:gridSpan w:val="2"/>
            <w:vAlign w:val="center"/>
          </w:tcPr>
          <w:p>
            <w:pPr>
              <w:rPr>
                <w:sz w:val="20"/>
              </w:rPr>
            </w:pPr>
            <w:r>
              <w:rPr>
                <w:rFonts w:hint="eastAsia"/>
                <w:sz w:val="20"/>
              </w:rPr>
              <w:t>邮编</w:t>
            </w:r>
          </w:p>
        </w:tc>
        <w:tc>
          <w:tcPr>
            <w:tcW w:w="1449" w:type="dxa"/>
            <w:gridSpan w:val="2"/>
            <w:vAlign w:val="center"/>
          </w:tcPr>
          <w:p>
            <w:pPr>
              <w:rPr>
                <w:rFonts w:hint="default" w:eastAsia="宋体"/>
                <w:sz w:val="21"/>
                <w:szCs w:val="21"/>
                <w:lang w:val="en-US" w:eastAsia="zh-CN"/>
              </w:rPr>
            </w:pPr>
            <w:r>
              <w:rPr>
                <w:rFonts w:hint="eastAsia"/>
                <w:sz w:val="21"/>
                <w:szCs w:val="21"/>
                <w:lang w:val="en-US" w:eastAsia="zh-CN"/>
              </w:rPr>
              <w:t>230022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eastAsia" w:eastAsia="宋体"/>
                <w:lang w:val="en-US" w:eastAsia="zh-CN"/>
              </w:rPr>
            </w:pPr>
            <w:bookmarkStart w:id="4" w:name="最高管理者"/>
            <w:bookmarkEnd w:id="4"/>
            <w:r>
              <w:rPr>
                <w:rFonts w:hint="eastAsia"/>
                <w:lang w:val="en-US" w:eastAsia="zh-CN"/>
              </w:rPr>
              <w:t>常征</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5" w:name="管代电话"/>
            <w:bookmarkEnd w:id="5"/>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6" w:name="合同编号"/>
            <w:r>
              <w:rPr>
                <w:sz w:val="20"/>
              </w:rPr>
              <w:t>0336-2020-F-2022</w:t>
            </w:r>
            <w:bookmarkEnd w:id="6"/>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7" w:name="Q勾选"/>
            <w:r>
              <w:rPr>
                <w:rFonts w:hint="eastAsia" w:ascii="宋体" w:hAnsi="宋体"/>
                <w:b/>
                <w:bCs/>
                <w:sz w:val="20"/>
              </w:rPr>
              <w:t>□</w:t>
            </w:r>
            <w:bookmarkEnd w:id="7"/>
            <w:r>
              <w:rPr>
                <w:spacing w:val="-2"/>
                <w:sz w:val="20"/>
              </w:rPr>
              <w:t>QMS</w:t>
            </w:r>
            <w:r>
              <w:rPr>
                <w:rFonts w:hint="eastAsia" w:ascii="宋体" w:hAnsi="宋体"/>
                <w:b/>
                <w:bCs/>
                <w:sz w:val="20"/>
              </w:rPr>
              <w:t>□</w:t>
            </w:r>
            <w:r>
              <w:rPr>
                <w:rFonts w:hint="eastAsia"/>
                <w:spacing w:val="-2"/>
                <w:sz w:val="20"/>
              </w:rPr>
              <w:t>Ec</w:t>
            </w:r>
            <w:r>
              <w:rPr>
                <w:spacing w:val="-2"/>
                <w:sz w:val="20"/>
              </w:rPr>
              <w:t>MS</w:t>
            </w:r>
            <w:bookmarkStart w:id="8" w:name="E勾选"/>
            <w:r>
              <w:rPr>
                <w:rFonts w:hint="eastAsia" w:ascii="宋体" w:hAnsi="宋体"/>
                <w:b/>
                <w:bCs/>
                <w:sz w:val="20"/>
              </w:rPr>
              <w:t>□</w:t>
            </w:r>
            <w:bookmarkEnd w:id="8"/>
            <w:r>
              <w:rPr>
                <w:spacing w:val="-2"/>
                <w:sz w:val="20"/>
              </w:rPr>
              <w:t>EMS</w:t>
            </w:r>
            <w:bookmarkStart w:id="9" w:name="S勾选Add1"/>
            <w:r>
              <w:rPr>
                <w:rFonts w:hint="eastAsia" w:ascii="宋体" w:hAnsi="宋体"/>
                <w:b/>
                <w:bCs/>
                <w:sz w:val="20"/>
              </w:rPr>
              <w:t>□</w:t>
            </w:r>
            <w:bookmarkEnd w:id="9"/>
            <w:r>
              <w:rPr>
                <w:spacing w:val="-2"/>
                <w:sz w:val="20"/>
              </w:rPr>
              <w:t>OHSMS</w:t>
            </w:r>
          </w:p>
          <w:p>
            <w:pPr>
              <w:rPr>
                <w:rFonts w:ascii="宋体" w:hAnsi="宋体"/>
                <w:b/>
                <w:bCs/>
                <w:sz w:val="20"/>
              </w:rPr>
            </w:pPr>
            <w:bookmarkStart w:id="10" w:name="F勾选"/>
            <w:r>
              <w:rPr>
                <w:rFonts w:hint="eastAsia" w:ascii="宋体" w:hAnsi="宋体"/>
                <w:b/>
                <w:bCs/>
                <w:sz w:val="20"/>
              </w:rPr>
              <w:t>■</w:t>
            </w:r>
            <w:bookmarkEnd w:id="10"/>
            <w:r>
              <w:rPr>
                <w:rFonts w:hint="eastAsia" w:ascii="宋体" w:hAnsi="宋体"/>
                <w:b/>
                <w:bCs/>
                <w:sz w:val="20"/>
              </w:rPr>
              <w:t xml:space="preserve">FSMS </w:t>
            </w:r>
            <w:bookmarkStart w:id="11" w:name="H勾选"/>
            <w:r>
              <w:rPr>
                <w:rFonts w:hint="eastAsia" w:ascii="宋体" w:hAnsi="宋体"/>
                <w:b/>
                <w:bCs/>
                <w:sz w:val="20"/>
              </w:rPr>
              <w:t>□</w:t>
            </w:r>
            <w:bookmarkEnd w:id="11"/>
            <w:r>
              <w:rPr>
                <w:rFonts w:hint="eastAsia" w:ascii="宋体" w:hAnsi="宋体"/>
                <w:b/>
                <w:bCs/>
                <w:sz w:val="20"/>
              </w:rPr>
              <w:t xml:space="preserve">HACCP  </w:t>
            </w:r>
            <w:bookmarkStart w:id="12" w:name="EnMs勾选"/>
            <w:r>
              <w:rPr>
                <w:rFonts w:hint="eastAsia" w:ascii="宋体" w:hAnsi="宋体"/>
                <w:b/>
                <w:bCs/>
                <w:sz w:val="20"/>
              </w:rPr>
              <w:t>□</w:t>
            </w:r>
            <w:bookmarkEnd w:id="12"/>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3" w:name="初审"/>
            <w:r>
              <w:rPr>
                <w:rFonts w:hint="eastAsia" w:ascii="宋体" w:hAnsi="宋体"/>
                <w:b/>
                <w:bCs/>
                <w:sz w:val="20"/>
              </w:rPr>
              <w:t>□</w:t>
            </w:r>
            <w:bookmarkEnd w:id="13"/>
            <w:r>
              <w:rPr>
                <w:rFonts w:hint="eastAsia" w:ascii="宋体" w:hAnsi="宋体"/>
                <w:b/>
                <w:bCs/>
                <w:sz w:val="20"/>
              </w:rPr>
              <w:t>初次认证第（二）阶段</w:t>
            </w:r>
            <w:bookmarkStart w:id="14" w:name="监督勾选"/>
            <w:r>
              <w:rPr>
                <w:rFonts w:hint="eastAsia" w:ascii="宋体" w:hAnsi="宋体"/>
                <w:b/>
                <w:bCs/>
                <w:sz w:val="20"/>
              </w:rPr>
              <w:t>■</w:t>
            </w:r>
            <w:bookmarkEnd w:id="14"/>
            <w:r>
              <w:rPr>
                <w:rFonts w:hint="eastAsia" w:ascii="宋体" w:hAnsi="宋体"/>
                <w:b/>
                <w:bCs/>
                <w:sz w:val="20"/>
              </w:rPr>
              <w:t>监督审核</w:t>
            </w:r>
            <w:r>
              <w:rPr>
                <w:rFonts w:hint="eastAsia" w:ascii="宋体" w:hAnsi="宋体"/>
                <w:b/>
                <w:bCs/>
                <w:sz w:val="20"/>
                <w:lang w:val="en-US" w:eastAsia="zh-CN"/>
              </w:rPr>
              <w:t>第2次</w:t>
            </w:r>
            <w:r>
              <w:rPr>
                <w:rFonts w:hint="eastAsia" w:ascii="宋体" w:hAnsi="宋体"/>
                <w:b/>
                <w:bCs/>
                <w:sz w:val="20"/>
              </w:rPr>
              <w:t xml:space="preserve"> </w:t>
            </w:r>
            <w:bookmarkStart w:id="15" w:name="再认证勾选"/>
            <w:r>
              <w:rPr>
                <w:rFonts w:hint="eastAsia" w:ascii="宋体" w:hAnsi="宋体"/>
                <w:b/>
                <w:bCs/>
                <w:sz w:val="20"/>
              </w:rPr>
              <w:t>□</w:t>
            </w:r>
            <w:bookmarkEnd w:id="15"/>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6" w:name="现场审核勾选"/>
            <w:r>
              <w:rPr>
                <w:rFonts w:hint="eastAsia" w:ascii="宋体" w:hAnsi="宋体" w:cs="宋体"/>
                <w:color w:val="000000"/>
                <w:kern w:val="0"/>
                <w:szCs w:val="24"/>
              </w:rPr>
              <w:t>■</w:t>
            </w:r>
            <w:bookmarkEnd w:id="16"/>
            <w:r>
              <w:rPr>
                <w:rFonts w:hint="eastAsia" w:ascii="宋体" w:hAnsi="宋体" w:cs="宋体"/>
                <w:color w:val="000000"/>
                <w:kern w:val="0"/>
                <w:szCs w:val="21"/>
              </w:rPr>
              <w:t xml:space="preserve">现场审核   </w:t>
            </w:r>
            <w:bookmarkStart w:id="17" w:name="远程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远程审核   </w:t>
            </w:r>
            <w:bookmarkStart w:id="18" w:name="现场与远程审核勾选"/>
            <w:r>
              <w:rPr>
                <w:rFonts w:hint="eastAsia" w:ascii="宋体" w:hAnsi="宋体" w:cs="宋体"/>
                <w:color w:val="000000"/>
                <w:kern w:val="0"/>
                <w:szCs w:val="24"/>
              </w:rPr>
              <w:t>□</w:t>
            </w:r>
            <w:bookmarkEnd w:id="18"/>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hint="eastAsia" w:ascii="宋体" w:hAnsi="宋体"/>
                <w:b/>
                <w:bCs/>
                <w:sz w:val="20"/>
                <w:szCs w:val="22"/>
              </w:rPr>
            </w:pPr>
            <w:bookmarkStart w:id="19" w:name="二阶段勾选"/>
            <w:r>
              <w:rPr>
                <w:rFonts w:hint="eastAsia" w:ascii="宋体" w:hAnsi="宋体"/>
                <w:b/>
                <w:bCs/>
                <w:sz w:val="20"/>
                <w:szCs w:val="22"/>
              </w:rPr>
              <w:t>□</w:t>
            </w:r>
            <w:bookmarkEnd w:id="19"/>
            <w:r>
              <w:rPr>
                <w:rFonts w:hint="eastAsia" w:ascii="宋体" w:hAnsi="宋体"/>
                <w:b/>
                <w:bCs/>
                <w:sz w:val="20"/>
                <w:szCs w:val="22"/>
              </w:rPr>
              <w:t>第二阶段审核：验证组织管理体系的建立、实施运行的符合性及有效性，以确定是否推荐认证注册。</w:t>
            </w:r>
          </w:p>
          <w:p>
            <w:r>
              <w:rPr>
                <w:rFonts w:hint="eastAsia" w:ascii="宋体" w:hAnsi="宋体"/>
                <w:b/>
                <w:bCs/>
                <w:sz w:val="20"/>
              </w:rPr>
              <w:t>■</w:t>
            </w:r>
            <w:r>
              <w:rPr>
                <w:rFonts w:hint="eastAsia" w:ascii="宋体" w:hAnsi="宋体"/>
                <w:b/>
                <w:bCs/>
                <w:sz w:val="20"/>
                <w:szCs w:val="22"/>
              </w:rPr>
              <w:t>监督审核：评价组织管理体系的持续符合性和有效性，以确定是否推荐保持认证证书。</w:t>
            </w:r>
          </w:p>
          <w:p>
            <w:pPr>
              <w:rPr>
                <w:rFonts w:ascii="宋体" w:hAnsi="宋体"/>
                <w:b/>
                <w:bCs/>
                <w:sz w:val="20"/>
                <w:szCs w:val="22"/>
              </w:rPr>
            </w:pPr>
            <w:bookmarkStart w:id="20" w:name="再认证勾选Add1"/>
            <w:r>
              <w:rPr>
                <w:rFonts w:hint="eastAsia" w:ascii="宋体" w:hAnsi="宋体"/>
                <w:b/>
                <w:bCs/>
                <w:sz w:val="20"/>
                <w:szCs w:val="22"/>
              </w:rPr>
              <w:t>□</w:t>
            </w:r>
            <w:bookmarkEnd w:id="20"/>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1" w:name="特殊审核勾选"/>
            <w:r>
              <w:rPr>
                <w:rFonts w:hint="eastAsia" w:ascii="宋体" w:hAnsi="宋体"/>
                <w:b/>
                <w:bCs/>
                <w:sz w:val="20"/>
                <w:szCs w:val="22"/>
              </w:rPr>
              <w:t>□</w:t>
            </w:r>
            <w:bookmarkEnd w:id="21"/>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2" w:name="审核范围"/>
            <w:r>
              <w:rPr>
                <w:sz w:val="20"/>
              </w:rPr>
              <w:t>位于安徽合肥市包河区屯溪路435号省卫生健康委员会地下车库一层的合肥美而特物业服务有限公司屯溪路分公司的餐饮管理服务（热食类食品制售）</w:t>
            </w:r>
            <w:bookmarkEnd w:id="22"/>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3" w:name="专业代码"/>
            <w:r>
              <w:rPr>
                <w:sz w:val="20"/>
              </w:rPr>
              <w:t>E</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4" w:name="Q勾选Add1"/>
            <w:r>
              <w:rPr>
                <w:rFonts w:hint="eastAsia" w:ascii="宋体" w:hAnsi="宋体"/>
                <w:b/>
                <w:sz w:val="21"/>
                <w:szCs w:val="21"/>
              </w:rPr>
              <w:t>□</w:t>
            </w:r>
            <w:bookmarkEnd w:id="24"/>
            <w:r>
              <w:rPr>
                <w:rFonts w:hint="eastAsia" w:ascii="宋体" w:hAnsi="宋体"/>
                <w:b/>
                <w:sz w:val="21"/>
                <w:szCs w:val="21"/>
              </w:rPr>
              <w:t xml:space="preserve">GB/T19001-2016/ISO 9001:2015   </w:t>
            </w:r>
            <w:bookmarkStart w:id="25" w:name="QJ勾选"/>
            <w:r>
              <w:rPr>
                <w:rFonts w:hint="eastAsia" w:ascii="宋体" w:hAnsi="宋体"/>
                <w:b/>
                <w:sz w:val="21"/>
                <w:szCs w:val="21"/>
              </w:rPr>
              <w:t>□</w:t>
            </w:r>
            <w:bookmarkEnd w:id="25"/>
            <w:r>
              <w:rPr>
                <w:rFonts w:hint="eastAsia" w:ascii="宋体" w:hAnsi="宋体"/>
                <w:b/>
                <w:sz w:val="21"/>
                <w:szCs w:val="21"/>
              </w:rPr>
              <w:t>GB/T 50430-2017</w:t>
            </w:r>
            <w:bookmarkStart w:id="26" w:name="E勾选Add1"/>
            <w:r>
              <w:rPr>
                <w:rFonts w:hint="eastAsia" w:ascii="宋体" w:hAnsi="宋体"/>
                <w:b/>
                <w:sz w:val="21"/>
                <w:szCs w:val="21"/>
              </w:rPr>
              <w:t>□</w:t>
            </w:r>
            <w:bookmarkEnd w:id="26"/>
            <w:r>
              <w:rPr>
                <w:rFonts w:hint="eastAsia" w:ascii="宋体" w:hAnsi="宋体"/>
                <w:b/>
                <w:sz w:val="21"/>
                <w:szCs w:val="21"/>
              </w:rPr>
              <w:t>GB/T24001-2016/ISO 14001:2015</w:t>
            </w:r>
          </w:p>
          <w:p>
            <w:pPr>
              <w:spacing w:line="240" w:lineRule="exact"/>
              <w:jc w:val="left"/>
              <w:rPr>
                <w:rFonts w:hint="eastAsia" w:ascii="宋体" w:hAnsi="宋体"/>
                <w:b/>
                <w:sz w:val="21"/>
                <w:szCs w:val="21"/>
              </w:rPr>
            </w:pPr>
            <w:bookmarkStart w:id="27" w:name="S勾选"/>
            <w:r>
              <w:rPr>
                <w:rFonts w:hint="eastAsia" w:ascii="宋体" w:hAnsi="宋体"/>
                <w:b/>
                <w:sz w:val="21"/>
                <w:szCs w:val="21"/>
              </w:rPr>
              <w:t>□</w:t>
            </w:r>
            <w:bookmarkEnd w:id="27"/>
            <w:r>
              <w:rPr>
                <w:rFonts w:hint="eastAsia" w:ascii="宋体" w:hAnsi="宋体"/>
                <w:b/>
                <w:sz w:val="21"/>
                <w:szCs w:val="21"/>
              </w:rPr>
              <w:t>GB/T45001-2020/ISO45001：2018标准</w:t>
            </w:r>
          </w:p>
          <w:p>
            <w:pPr>
              <w:spacing w:line="240" w:lineRule="exact"/>
              <w:rPr>
                <w:rFonts w:ascii="宋体" w:hAnsi="宋体"/>
                <w:b/>
                <w:sz w:val="21"/>
                <w:szCs w:val="21"/>
                <w:u w:val="single"/>
              </w:rPr>
            </w:pPr>
            <w:bookmarkStart w:id="28" w:name="F勾选Add1"/>
            <w:r>
              <w:rPr>
                <w:rFonts w:hint="eastAsia" w:ascii="宋体" w:hAnsi="宋体"/>
                <w:b/>
                <w:sz w:val="21"/>
                <w:szCs w:val="21"/>
              </w:rPr>
              <w:t>■</w:t>
            </w:r>
            <w:bookmarkEnd w:id="28"/>
            <w:r>
              <w:rPr>
                <w:rFonts w:hint="eastAsia" w:ascii="宋体" w:hAnsi="宋体"/>
                <w:b/>
                <w:sz w:val="21"/>
                <w:szCs w:val="21"/>
              </w:rPr>
              <w:t>ISO 22000:2018&amp;</w:t>
            </w:r>
            <w:r>
              <w:rPr>
                <w:rFonts w:ascii="宋体" w:hAnsi="宋体"/>
                <w:b/>
                <w:sz w:val="21"/>
                <w:szCs w:val="21"/>
              </w:rPr>
              <w:t xml:space="preserve">专项技术要求： </w:t>
            </w:r>
            <w:r>
              <w:rPr>
                <w:rFonts w:hint="eastAsia" w:ascii="宋体" w:hAnsi="宋体"/>
                <w:b/>
                <w:sz w:val="21"/>
                <w:szCs w:val="21"/>
                <w:u w:val="single"/>
              </w:rPr>
              <w:t>GB</w:t>
            </w:r>
            <w:r>
              <w:rPr>
                <w:rFonts w:ascii="宋体" w:hAnsi="宋体"/>
                <w:b/>
                <w:sz w:val="21"/>
                <w:szCs w:val="21"/>
                <w:u w:val="single"/>
              </w:rPr>
              <w:t>/</w:t>
            </w:r>
            <w:r>
              <w:rPr>
                <w:rFonts w:hint="eastAsia" w:ascii="宋体" w:hAnsi="宋体"/>
                <w:b/>
                <w:sz w:val="21"/>
                <w:szCs w:val="21"/>
                <w:u w:val="single"/>
              </w:rPr>
              <w:t>T 27306-2008 食品安全管理体系 餐饮业要求</w:t>
            </w:r>
          </w:p>
          <w:p>
            <w:pPr>
              <w:jc w:val="left"/>
              <w:rPr>
                <w:rFonts w:ascii="宋体" w:hAnsi="宋体"/>
                <w:b/>
                <w:sz w:val="21"/>
                <w:szCs w:val="21"/>
              </w:rPr>
            </w:pPr>
            <w:bookmarkStart w:id="29" w:name="H勾选Add1"/>
            <w:r>
              <w:rPr>
                <w:rFonts w:hint="eastAsia" w:ascii="宋体" w:hAnsi="宋体"/>
                <w:b/>
                <w:sz w:val="21"/>
                <w:szCs w:val="21"/>
              </w:rPr>
              <w:t>□</w:t>
            </w:r>
            <w:bookmarkEnd w:id="29"/>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0" w:name="EnMS勾选Add1"/>
            <w:r>
              <w:rPr>
                <w:rFonts w:hint="eastAsia" w:ascii="宋体" w:hAnsi="宋体"/>
                <w:b/>
                <w:sz w:val="21"/>
                <w:szCs w:val="21"/>
              </w:rPr>
              <w:t>□</w:t>
            </w:r>
            <w:bookmarkEnd w:id="30"/>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t>■受审核方管理体系文件 (手册版本号：</w:t>
            </w:r>
            <w:r>
              <w:rPr>
                <w:rFonts w:hint="eastAsia" w:ascii="宋体" w:hAnsi="宋体"/>
                <w:b/>
                <w:sz w:val="21"/>
                <w:szCs w:val="21"/>
                <w:lang w:val="en-US" w:eastAsia="zh-CN"/>
              </w:rPr>
              <w:t>B/1</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2022年12月16日 上午至2022年12月16日 下午</w:t>
            </w:r>
            <w:bookmarkEnd w:id="31"/>
            <w:r>
              <w:rPr>
                <w:rFonts w:hint="eastAsia"/>
                <w:b/>
                <w:sz w:val="20"/>
              </w:rPr>
              <w:t>(共</w:t>
            </w:r>
            <w:bookmarkStart w:id="32" w:name="审核天数"/>
            <w:r>
              <w:rPr>
                <w:rFonts w:hint="eastAsia"/>
                <w:b/>
                <w:sz w:val="20"/>
              </w:rPr>
              <w:t>1.0</w:t>
            </w:r>
            <w:bookmarkEnd w:id="32"/>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trike/>
                <w:dstrike w:val="0"/>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ascii="宋体" w:hAnsi="宋体"/>
                <w:b/>
                <w:sz w:val="21"/>
                <w:szCs w:val="21"/>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419" w:type="dxa"/>
            <w:gridSpan w:val="4"/>
            <w:vAlign w:val="center"/>
          </w:tcPr>
          <w:p>
            <w:pPr>
              <w:jc w:val="center"/>
              <w:rPr>
                <w:sz w:val="20"/>
                <w:lang w:val="de-DE"/>
              </w:rPr>
            </w:pPr>
            <w:r>
              <w:rPr>
                <w:rFonts w:hint="eastAsia"/>
                <w:sz w:val="21"/>
                <w:szCs w:val="21"/>
              </w:rPr>
              <w:t>联系电话</w:t>
            </w:r>
          </w:p>
        </w:tc>
        <w:tc>
          <w:tcPr>
            <w:tcW w:w="126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陈丽丹</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2021-N1FSMS-1246137</w:t>
            </w:r>
          </w:p>
        </w:tc>
        <w:tc>
          <w:tcPr>
            <w:tcW w:w="1696" w:type="dxa"/>
            <w:gridSpan w:val="2"/>
            <w:vAlign w:val="center"/>
          </w:tcPr>
          <w:p>
            <w:pPr>
              <w:jc w:val="center"/>
              <w:rPr>
                <w:sz w:val="20"/>
                <w:lang w:val="de-DE"/>
              </w:rPr>
            </w:pPr>
            <w:r>
              <w:rPr>
                <w:sz w:val="20"/>
                <w:lang w:val="de-DE"/>
              </w:rPr>
              <w:t>E</w:t>
            </w:r>
          </w:p>
        </w:tc>
        <w:tc>
          <w:tcPr>
            <w:tcW w:w="1419" w:type="dxa"/>
            <w:gridSpan w:val="4"/>
            <w:vAlign w:val="center"/>
          </w:tcPr>
          <w:p>
            <w:pPr>
              <w:jc w:val="center"/>
              <w:rPr>
                <w:sz w:val="20"/>
                <w:lang w:val="de-DE"/>
              </w:rPr>
            </w:pPr>
            <w:r>
              <w:rPr>
                <w:sz w:val="20"/>
                <w:lang w:val="de-DE"/>
              </w:rPr>
              <w:t>13818030725</w:t>
            </w:r>
          </w:p>
        </w:tc>
        <w:tc>
          <w:tcPr>
            <w:tcW w:w="126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19" w:type="dxa"/>
            <w:gridSpan w:val="4"/>
            <w:vAlign w:val="center"/>
          </w:tcPr>
          <w:p>
            <w:pPr>
              <w:rPr>
                <w:sz w:val="21"/>
                <w:szCs w:val="21"/>
              </w:rPr>
            </w:pPr>
          </w:p>
        </w:tc>
        <w:tc>
          <w:tcPr>
            <w:tcW w:w="126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19" w:type="dxa"/>
            <w:gridSpan w:val="4"/>
            <w:vAlign w:val="center"/>
          </w:tcPr>
          <w:p>
            <w:pPr>
              <w:rPr>
                <w:sz w:val="21"/>
                <w:szCs w:val="21"/>
              </w:rPr>
            </w:pPr>
          </w:p>
        </w:tc>
        <w:tc>
          <w:tcPr>
            <w:tcW w:w="126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19" w:type="dxa"/>
            <w:gridSpan w:val="4"/>
            <w:vAlign w:val="center"/>
          </w:tcPr>
          <w:p>
            <w:pPr>
              <w:rPr>
                <w:sz w:val="21"/>
                <w:szCs w:val="21"/>
              </w:rPr>
            </w:pPr>
          </w:p>
        </w:tc>
        <w:tc>
          <w:tcPr>
            <w:tcW w:w="126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419" w:type="dxa"/>
            <w:gridSpan w:val="4"/>
            <w:vAlign w:val="center"/>
          </w:tcPr>
          <w:p>
            <w:pPr>
              <w:rPr>
                <w:sz w:val="21"/>
                <w:szCs w:val="21"/>
              </w:rPr>
            </w:pPr>
          </w:p>
        </w:tc>
        <w:tc>
          <w:tcPr>
            <w:tcW w:w="126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419" w:type="dxa"/>
            <w:gridSpan w:val="4"/>
            <w:vAlign w:val="center"/>
          </w:tcPr>
          <w:p>
            <w:r>
              <w:rPr>
                <w:rFonts w:hint="eastAsia"/>
                <w:sz w:val="21"/>
                <w:szCs w:val="21"/>
              </w:rPr>
              <w:t>组内代码</w:t>
            </w:r>
          </w:p>
        </w:tc>
        <w:tc>
          <w:tcPr>
            <w:tcW w:w="126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419" w:type="dxa"/>
            <w:gridSpan w:val="4"/>
            <w:vAlign w:val="center"/>
          </w:tcPr>
          <w:p/>
        </w:tc>
        <w:tc>
          <w:tcPr>
            <w:tcW w:w="126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419" w:type="dxa"/>
            <w:gridSpan w:val="4"/>
            <w:vAlign w:val="center"/>
          </w:tcPr>
          <w:p/>
        </w:tc>
        <w:tc>
          <w:tcPr>
            <w:tcW w:w="126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hint="eastAsia" w:eastAsia="宋体"/>
                <w:b/>
                <w:sz w:val="20"/>
                <w:lang w:val="en-US" w:eastAsia="zh-CN"/>
              </w:rPr>
              <w:drawing>
                <wp:inline distT="0" distB="0" distL="114300" distR="114300">
                  <wp:extent cx="601980" cy="337185"/>
                  <wp:effectExtent l="0" t="0" r="7620" b="5715"/>
                  <wp:docPr id="3" name="图片 1" descr="699c47ee4560dea61f438819da44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699c47ee4560dea61f438819da448a7"/>
                          <pic:cNvPicPr>
                            <a:picLocks noChangeAspect="1"/>
                          </pic:cNvPicPr>
                        </pic:nvPicPr>
                        <pic:blipFill>
                          <a:blip r:embed="rId5"/>
                          <a:stretch>
                            <a:fillRect/>
                          </a:stretch>
                        </pic:blipFill>
                        <pic:spPr>
                          <a:xfrm>
                            <a:off x="0" y="0"/>
                            <a:ext cx="601980" cy="337185"/>
                          </a:xfrm>
                          <a:prstGeom prst="rect">
                            <a:avLst/>
                          </a:prstGeom>
                          <a:noFill/>
                          <a:ln>
                            <a:noFill/>
                          </a:ln>
                        </pic:spPr>
                      </pic:pic>
                    </a:graphicData>
                  </a:graphic>
                </wp:inline>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3" w:name="审核派遣人"/>
            <w:r>
              <w:rPr>
                <w:sz w:val="21"/>
                <w:szCs w:val="21"/>
              </w:rPr>
              <w:t>李永忠</w:t>
            </w:r>
            <w:bookmarkEnd w:id="33"/>
          </w:p>
        </w:tc>
        <w:tc>
          <w:tcPr>
            <w:tcW w:w="218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26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13818030725</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181" w:type="dxa"/>
            <w:gridSpan w:val="5"/>
            <w:vMerge w:val="continue"/>
            <w:vAlign w:val="center"/>
          </w:tcPr>
          <w:p>
            <w:pPr>
              <w:rPr>
                <w:sz w:val="21"/>
                <w:szCs w:val="21"/>
              </w:rPr>
            </w:pPr>
          </w:p>
        </w:tc>
        <w:tc>
          <w:tcPr>
            <w:tcW w:w="126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2022.12.14</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rFonts w:hint="default" w:eastAsia="宋体"/>
                <w:sz w:val="21"/>
                <w:szCs w:val="21"/>
                <w:lang w:val="en-US" w:eastAsia="zh-CN"/>
              </w:rPr>
            </w:pPr>
            <w:r>
              <w:rPr>
                <w:rFonts w:hint="eastAsia"/>
                <w:sz w:val="21"/>
                <w:szCs w:val="21"/>
                <w:lang w:val="en-US" w:eastAsia="zh-CN"/>
              </w:rPr>
              <w:t>2022.12.14</w:t>
            </w:r>
          </w:p>
        </w:tc>
        <w:tc>
          <w:tcPr>
            <w:tcW w:w="2181" w:type="dxa"/>
            <w:gridSpan w:val="5"/>
            <w:vAlign w:val="center"/>
          </w:tcPr>
          <w:p>
            <w:pPr>
              <w:rPr>
                <w:sz w:val="21"/>
                <w:szCs w:val="21"/>
              </w:rPr>
            </w:pPr>
            <w:r>
              <w:rPr>
                <w:rFonts w:hint="eastAsia"/>
                <w:sz w:val="20"/>
              </w:rPr>
              <w:t>日期</w:t>
            </w:r>
          </w:p>
        </w:tc>
        <w:tc>
          <w:tcPr>
            <w:tcW w:w="1260" w:type="dxa"/>
            <w:vAlign w:val="center"/>
          </w:tcPr>
          <w:p>
            <w:pPr>
              <w:rPr>
                <w:rFonts w:hint="default" w:eastAsia="宋体"/>
                <w:sz w:val="21"/>
                <w:szCs w:val="21"/>
                <w:lang w:val="en-US" w:eastAsia="zh-CN"/>
              </w:rPr>
            </w:pPr>
            <w:r>
              <w:rPr>
                <w:rFonts w:hint="eastAsia"/>
                <w:sz w:val="21"/>
                <w:szCs w:val="21"/>
                <w:lang w:val="en-US" w:eastAsia="zh-CN"/>
              </w:rPr>
              <w:t>2022.12.14</w:t>
            </w:r>
          </w:p>
        </w:tc>
      </w:tr>
    </w:tbl>
    <w:p/>
    <w:p>
      <w:pPr>
        <w:pStyle w:val="2"/>
      </w:pPr>
    </w:p>
    <w:p>
      <w:pPr>
        <w:pStyle w:val="2"/>
      </w:pP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09"/>
        <w:gridCol w:w="1370"/>
        <w:gridCol w:w="3038"/>
        <w:gridCol w:w="24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14" w:type="dxa"/>
            <w:gridSpan w:val="6"/>
            <w:tcBorders>
              <w:top w:val="single" w:color="auto" w:sz="8" w:space="0"/>
              <w:left w:val="single" w:color="auto" w:sz="8" w:space="0"/>
              <w:bottom w:val="nil"/>
              <w:right w:val="single" w:color="auto" w:sz="8" w:space="0"/>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59" w:type="dxa"/>
            <w:tcBorders>
              <w:left w:val="single" w:color="auto" w:sz="8" w:space="0"/>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日期</w:t>
            </w:r>
          </w:p>
        </w:tc>
        <w:tc>
          <w:tcPr>
            <w:tcW w:w="1409" w:type="dxa"/>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时间</w:t>
            </w:r>
          </w:p>
        </w:tc>
        <w:tc>
          <w:tcPr>
            <w:tcW w:w="1370" w:type="dxa"/>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部门</w:t>
            </w:r>
          </w:p>
        </w:tc>
        <w:tc>
          <w:tcPr>
            <w:tcW w:w="3038" w:type="dxa"/>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过程</w:t>
            </w:r>
          </w:p>
        </w:tc>
        <w:tc>
          <w:tcPr>
            <w:tcW w:w="2469" w:type="dxa"/>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涉及条款</w:t>
            </w:r>
          </w:p>
        </w:tc>
        <w:tc>
          <w:tcPr>
            <w:tcW w:w="1069" w:type="dxa"/>
            <w:tcBorders>
              <w:right w:val="single" w:color="auto" w:sz="8" w:space="0"/>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59" w:type="dxa"/>
            <w:vMerge w:val="restart"/>
            <w:tcBorders>
              <w:left w:val="single" w:color="auto" w:sz="8" w:space="0"/>
            </w:tcBorders>
            <w:shd w:val="clear" w:color="auto" w:fill="auto"/>
            <w:vAlign w:val="center"/>
          </w:tcPr>
          <w:p>
            <w:pPr>
              <w:snapToGrid w:val="0"/>
              <w:spacing w:line="320" w:lineRule="exact"/>
              <w:rPr>
                <w:rFonts w:hint="eastAsia" w:ascii="宋体" w:hAnsi="宋体" w:eastAsia="宋体"/>
                <w:b/>
                <w:bCs/>
                <w:sz w:val="18"/>
                <w:szCs w:val="18"/>
                <w:lang w:val="en-US" w:eastAsia="zh-CN"/>
              </w:rPr>
            </w:pPr>
            <w:r>
              <w:rPr>
                <w:rFonts w:hint="eastAsia" w:ascii="宋体" w:hAnsi="宋体"/>
                <w:b/>
                <w:bCs/>
                <w:sz w:val="18"/>
                <w:szCs w:val="18"/>
              </w:rPr>
              <w:t>202</w:t>
            </w:r>
            <w:r>
              <w:rPr>
                <w:rFonts w:hint="eastAsia" w:ascii="宋体" w:hAnsi="宋体"/>
                <w:b/>
                <w:bCs/>
                <w:sz w:val="18"/>
                <w:szCs w:val="18"/>
                <w:lang w:val="en-US" w:eastAsia="zh-CN"/>
              </w:rPr>
              <w:t>2</w:t>
            </w:r>
            <w:r>
              <w:rPr>
                <w:rFonts w:hint="eastAsia" w:ascii="宋体" w:hAnsi="宋体"/>
                <w:b/>
                <w:bCs/>
                <w:sz w:val="18"/>
                <w:szCs w:val="18"/>
              </w:rPr>
              <w:t>-</w:t>
            </w:r>
            <w:r>
              <w:rPr>
                <w:rFonts w:ascii="宋体" w:hAnsi="宋体"/>
                <w:b/>
                <w:bCs/>
                <w:sz w:val="18"/>
                <w:szCs w:val="18"/>
              </w:rPr>
              <w:t>1</w:t>
            </w:r>
            <w:r>
              <w:rPr>
                <w:rFonts w:hint="eastAsia" w:ascii="宋体" w:hAnsi="宋体"/>
                <w:b/>
                <w:bCs/>
                <w:sz w:val="18"/>
                <w:szCs w:val="18"/>
                <w:lang w:val="en-US" w:eastAsia="zh-CN"/>
              </w:rPr>
              <w:t>2</w:t>
            </w:r>
            <w:r>
              <w:rPr>
                <w:rFonts w:hint="eastAsia" w:ascii="宋体" w:hAnsi="宋体"/>
                <w:b/>
                <w:bCs/>
                <w:sz w:val="18"/>
                <w:szCs w:val="18"/>
              </w:rPr>
              <w:t>-</w:t>
            </w:r>
            <w:r>
              <w:rPr>
                <w:rFonts w:ascii="宋体" w:hAnsi="宋体"/>
                <w:b/>
                <w:bCs/>
                <w:sz w:val="18"/>
                <w:szCs w:val="18"/>
              </w:rPr>
              <w:t>1</w:t>
            </w:r>
            <w:r>
              <w:rPr>
                <w:rFonts w:hint="eastAsia" w:ascii="宋体" w:hAnsi="宋体"/>
                <w:b/>
                <w:bCs/>
                <w:sz w:val="18"/>
                <w:szCs w:val="18"/>
                <w:lang w:val="en-US" w:eastAsia="zh-CN"/>
              </w:rPr>
              <w:t>6</w:t>
            </w:r>
          </w:p>
        </w:tc>
        <w:tc>
          <w:tcPr>
            <w:tcW w:w="1409" w:type="dxa"/>
            <w:shd w:val="clear" w:color="auto" w:fill="auto"/>
            <w:vAlign w:val="center"/>
          </w:tcPr>
          <w:p>
            <w:pPr>
              <w:snapToGrid w:val="0"/>
              <w:spacing w:line="280" w:lineRule="exact"/>
              <w:jc w:val="center"/>
              <w:rPr>
                <w:rFonts w:ascii="宋体" w:hAnsi="宋体"/>
                <w:b/>
                <w:bCs/>
                <w:color w:val="0000FF"/>
                <w:sz w:val="18"/>
                <w:szCs w:val="18"/>
              </w:rPr>
            </w:pPr>
            <w:r>
              <w:rPr>
                <w:rFonts w:hint="eastAsia" w:ascii="宋体" w:hAnsi="宋体"/>
                <w:b/>
                <w:bCs/>
                <w:color w:val="0000FF"/>
                <w:sz w:val="18"/>
                <w:szCs w:val="18"/>
              </w:rPr>
              <w:t>8:25</w:t>
            </w:r>
          </w:p>
        </w:tc>
        <w:tc>
          <w:tcPr>
            <w:tcW w:w="6877" w:type="dxa"/>
            <w:gridSpan w:val="3"/>
            <w:shd w:val="clear" w:color="auto" w:fill="auto"/>
            <w:vAlign w:val="center"/>
          </w:tcPr>
          <w:p>
            <w:pPr>
              <w:snapToGrid w:val="0"/>
              <w:spacing w:line="280" w:lineRule="exact"/>
              <w:jc w:val="center"/>
              <w:rPr>
                <w:rFonts w:hint="eastAsia" w:ascii="宋体" w:hAnsi="宋体" w:eastAsia="宋体"/>
                <w:b/>
                <w:bCs/>
                <w:color w:val="0000FF"/>
                <w:sz w:val="18"/>
                <w:szCs w:val="18"/>
                <w:lang w:val="en-US" w:eastAsia="zh-CN"/>
              </w:rPr>
            </w:pPr>
            <w:r>
              <w:rPr>
                <w:rFonts w:hint="eastAsia" w:ascii="宋体" w:hAnsi="宋体"/>
                <w:b/>
                <w:bCs/>
                <w:color w:val="0000FF"/>
                <w:sz w:val="18"/>
                <w:szCs w:val="18"/>
                <w:lang w:val="en-US" w:eastAsia="zh-CN"/>
              </w:rPr>
              <w:t>到达</w:t>
            </w:r>
          </w:p>
        </w:tc>
        <w:tc>
          <w:tcPr>
            <w:tcW w:w="1069" w:type="dxa"/>
            <w:tcBorders>
              <w:right w:val="single" w:color="auto" w:sz="8" w:space="0"/>
            </w:tcBorders>
            <w:shd w:val="clear" w:color="auto" w:fill="auto"/>
            <w:vAlign w:val="center"/>
          </w:tcPr>
          <w:p>
            <w:pPr>
              <w:snapToGrid w:val="0"/>
              <w:spacing w:line="280" w:lineRule="exact"/>
              <w:rPr>
                <w:rFonts w:ascii="宋体" w:hAnsi="宋体"/>
                <w:b/>
                <w:bCs/>
                <w:color w:val="FF0000"/>
                <w:sz w:val="18"/>
                <w:szCs w:val="18"/>
              </w:rPr>
            </w:pPr>
            <w:r>
              <w:rPr>
                <w:rFonts w:hint="eastAsia" w:ascii="宋体" w:hAnsi="宋体"/>
                <w:b/>
                <w:bCs/>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9" w:type="dxa"/>
            <w:vMerge w:val="continue"/>
            <w:tcBorders>
              <w:left w:val="single" w:color="auto" w:sz="8" w:space="0"/>
            </w:tcBorders>
            <w:shd w:val="clear" w:color="auto" w:fill="auto"/>
          </w:tcPr>
          <w:p>
            <w:pPr>
              <w:snapToGrid w:val="0"/>
              <w:spacing w:line="320" w:lineRule="exact"/>
              <w:ind w:firstLine="181" w:firstLineChars="100"/>
              <w:rPr>
                <w:rFonts w:ascii="宋体" w:hAnsi="宋体"/>
                <w:b/>
                <w:bCs/>
                <w:sz w:val="18"/>
                <w:szCs w:val="18"/>
              </w:rPr>
            </w:pPr>
          </w:p>
        </w:tc>
        <w:tc>
          <w:tcPr>
            <w:tcW w:w="1409" w:type="dxa"/>
            <w:shd w:val="clear" w:color="auto" w:fill="auto"/>
          </w:tcPr>
          <w:p>
            <w:pPr>
              <w:snapToGrid w:val="0"/>
              <w:spacing w:line="320" w:lineRule="exact"/>
              <w:rPr>
                <w:rFonts w:ascii="宋体" w:hAnsi="宋体"/>
                <w:b/>
                <w:bCs/>
                <w:sz w:val="18"/>
                <w:szCs w:val="18"/>
              </w:rPr>
            </w:pPr>
            <w:r>
              <w:rPr>
                <w:rFonts w:hint="eastAsia" w:ascii="宋体" w:hAnsi="宋体"/>
                <w:b/>
                <w:bCs/>
                <w:sz w:val="18"/>
                <w:szCs w:val="18"/>
              </w:rPr>
              <w:t>08:</w:t>
            </w:r>
            <w:r>
              <w:rPr>
                <w:rFonts w:ascii="宋体" w:hAnsi="宋体"/>
                <w:b/>
                <w:bCs/>
                <w:sz w:val="18"/>
                <w:szCs w:val="18"/>
              </w:rPr>
              <w:t>30-9</w:t>
            </w:r>
            <w:r>
              <w:rPr>
                <w:rFonts w:hint="eastAsia" w:ascii="宋体" w:hAnsi="宋体"/>
                <w:b/>
                <w:bCs/>
                <w:sz w:val="18"/>
                <w:szCs w:val="18"/>
              </w:rPr>
              <w:t>:</w:t>
            </w:r>
            <w:r>
              <w:rPr>
                <w:rFonts w:ascii="宋体" w:hAnsi="宋体"/>
                <w:b/>
                <w:bCs/>
                <w:sz w:val="18"/>
                <w:szCs w:val="18"/>
              </w:rPr>
              <w:t>0</w:t>
            </w:r>
            <w:r>
              <w:rPr>
                <w:rFonts w:hint="eastAsia" w:ascii="宋体" w:hAnsi="宋体"/>
                <w:b/>
                <w:bCs/>
                <w:sz w:val="18"/>
                <w:szCs w:val="18"/>
              </w:rPr>
              <w:t>0</w:t>
            </w:r>
          </w:p>
        </w:tc>
        <w:tc>
          <w:tcPr>
            <w:tcW w:w="6877" w:type="dxa"/>
            <w:gridSpan w:val="3"/>
            <w:shd w:val="clear" w:color="auto" w:fill="auto"/>
          </w:tcPr>
          <w:p>
            <w:pPr>
              <w:spacing w:line="300" w:lineRule="exact"/>
              <w:jc w:val="center"/>
              <w:rPr>
                <w:rFonts w:ascii="宋体" w:hAnsi="宋体"/>
                <w:b/>
                <w:bCs/>
                <w:sz w:val="18"/>
                <w:szCs w:val="18"/>
              </w:rPr>
            </w:pPr>
            <w:r>
              <w:rPr>
                <w:rFonts w:hint="eastAsia" w:ascii="宋体" w:hAnsi="宋体"/>
                <w:b/>
                <w:bCs/>
                <w:sz w:val="18"/>
                <w:szCs w:val="18"/>
              </w:rPr>
              <w:t>首次会议</w:t>
            </w:r>
          </w:p>
        </w:tc>
        <w:tc>
          <w:tcPr>
            <w:tcW w:w="1069" w:type="dxa"/>
            <w:tcBorders>
              <w:right w:val="single" w:color="auto" w:sz="8" w:space="0"/>
            </w:tcBorders>
            <w:shd w:val="clear" w:color="auto" w:fill="auto"/>
          </w:tcPr>
          <w:p>
            <w:pPr>
              <w:snapToGrid w:val="0"/>
              <w:spacing w:line="320" w:lineRule="exact"/>
              <w:rPr>
                <w:rFonts w:ascii="宋体" w:hAnsi="宋体"/>
                <w:b/>
                <w:bCs/>
                <w:sz w:val="18"/>
                <w:szCs w:val="18"/>
              </w:rPr>
            </w:pPr>
            <w:r>
              <w:rPr>
                <w:rFonts w:hint="eastAsia" w:ascii="宋体" w:hAnsi="宋体"/>
                <w:b/>
                <w:bCs/>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5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409" w:type="dxa"/>
            <w:shd w:val="clear" w:color="auto" w:fill="C7DAF1" w:themeFill="text2" w:themeFillTint="32"/>
          </w:tcPr>
          <w:p>
            <w:pPr>
              <w:snapToGrid w:val="0"/>
              <w:spacing w:line="320" w:lineRule="exact"/>
              <w:rPr>
                <w:rFonts w:ascii="宋体" w:hAnsi="宋体"/>
                <w:b/>
                <w:bCs/>
                <w:sz w:val="18"/>
                <w:szCs w:val="18"/>
              </w:rPr>
            </w:pPr>
            <w:r>
              <w:rPr>
                <w:rFonts w:hint="eastAsia" w:ascii="宋体" w:hAnsi="宋体"/>
                <w:b/>
                <w:bCs/>
                <w:sz w:val="18"/>
                <w:szCs w:val="18"/>
                <w:lang w:val="en-US" w:eastAsia="zh-CN"/>
              </w:rPr>
              <w:t>9</w:t>
            </w:r>
            <w:r>
              <w:rPr>
                <w:rFonts w:hint="eastAsia" w:ascii="宋体" w:hAnsi="宋体"/>
                <w:b/>
                <w:bCs/>
                <w:sz w:val="18"/>
                <w:szCs w:val="18"/>
              </w:rPr>
              <w:t>:</w:t>
            </w:r>
            <w:r>
              <w:rPr>
                <w:rFonts w:hint="eastAsia" w:ascii="宋体" w:hAnsi="宋体"/>
                <w:b/>
                <w:bCs/>
                <w:sz w:val="18"/>
                <w:szCs w:val="18"/>
                <w:lang w:val="en-US" w:eastAsia="zh-CN"/>
              </w:rPr>
              <w:t>0</w:t>
            </w:r>
            <w:r>
              <w:rPr>
                <w:rFonts w:hint="eastAsia" w:ascii="宋体" w:hAnsi="宋体"/>
                <w:b/>
                <w:bCs/>
                <w:sz w:val="18"/>
                <w:szCs w:val="18"/>
              </w:rPr>
              <w:t>0-</w:t>
            </w:r>
            <w:r>
              <w:rPr>
                <w:rFonts w:hint="eastAsia" w:ascii="宋体" w:hAnsi="宋体"/>
                <w:b/>
                <w:bCs/>
                <w:sz w:val="18"/>
                <w:szCs w:val="18"/>
                <w:lang w:val="en-US" w:eastAsia="zh-CN"/>
              </w:rPr>
              <w:t>9</w:t>
            </w:r>
            <w:r>
              <w:rPr>
                <w:rFonts w:hint="eastAsia" w:ascii="宋体" w:hAnsi="宋体"/>
                <w:b/>
                <w:bCs/>
                <w:sz w:val="18"/>
                <w:szCs w:val="18"/>
              </w:rPr>
              <w:t>:</w:t>
            </w:r>
            <w:r>
              <w:rPr>
                <w:rFonts w:hint="eastAsia" w:ascii="宋体" w:hAnsi="宋体"/>
                <w:b/>
                <w:bCs/>
                <w:sz w:val="18"/>
                <w:szCs w:val="18"/>
                <w:lang w:val="en-US" w:eastAsia="zh-CN"/>
              </w:rPr>
              <w:t>3</w:t>
            </w:r>
            <w:r>
              <w:rPr>
                <w:rFonts w:hint="eastAsia" w:ascii="宋体" w:hAnsi="宋体"/>
                <w:b/>
                <w:bCs/>
                <w:sz w:val="18"/>
                <w:szCs w:val="18"/>
              </w:rPr>
              <w:t>0</w:t>
            </w:r>
          </w:p>
        </w:tc>
        <w:tc>
          <w:tcPr>
            <w:tcW w:w="1370" w:type="dxa"/>
            <w:shd w:val="clear" w:color="auto" w:fill="C7DAF1" w:themeFill="text2" w:themeFillTint="32"/>
          </w:tcPr>
          <w:p>
            <w:pPr>
              <w:spacing w:line="300" w:lineRule="exact"/>
              <w:rPr>
                <w:rFonts w:ascii="宋体" w:hAnsi="宋体"/>
                <w:b/>
                <w:bCs/>
                <w:sz w:val="18"/>
                <w:szCs w:val="18"/>
              </w:rPr>
            </w:pPr>
            <w:r>
              <w:rPr>
                <w:rFonts w:hint="eastAsia" w:ascii="宋体" w:hAnsi="宋体"/>
                <w:b/>
                <w:bCs/>
                <w:sz w:val="18"/>
                <w:szCs w:val="18"/>
              </w:rPr>
              <w:t>领导层</w:t>
            </w:r>
          </w:p>
        </w:tc>
        <w:tc>
          <w:tcPr>
            <w:tcW w:w="3038" w:type="dxa"/>
            <w:shd w:val="clear" w:color="auto" w:fill="C7DAF1" w:themeFill="text2" w:themeFillTint="32"/>
            <w:vAlign w:val="top"/>
          </w:tcPr>
          <w:p>
            <w:pPr>
              <w:spacing w:line="300" w:lineRule="exact"/>
              <w:rPr>
                <w:rFonts w:hint="eastAsia" w:ascii="宋体" w:hAnsi="宋体" w:eastAsiaTheme="minorEastAsia"/>
                <w:sz w:val="18"/>
                <w:szCs w:val="18"/>
                <w:lang w:eastAsia="zh-CN"/>
              </w:rPr>
            </w:pPr>
            <w:r>
              <w:rPr>
                <w:rFonts w:hint="eastAsia" w:asciiTheme="minorEastAsia" w:hAnsiTheme="minorEastAsia" w:eastAsiaTheme="minorEastAsia"/>
                <w:sz w:val="18"/>
                <w:szCs w:val="18"/>
              </w:rPr>
              <w:t>总要求、认证范围、过程方法、内外部因素、相关方及期望、风险和机遇的控制、方针和目标，资源管理、领导作用、岗位和职责、目标管理、内外部沟通、持续改进的机制、重大投诉处理、重大体系事故和变更管理、应急准备和响应，顾客反馈、产品召回、行业抽查情况、持续改进</w:t>
            </w:r>
            <w:r>
              <w:rPr>
                <w:rFonts w:hint="eastAsia" w:cs="Arial" w:asciiTheme="minorEastAsia" w:hAnsiTheme="minorEastAsia" w:eastAsiaTheme="minorEastAsia"/>
                <w:bCs/>
                <w:sz w:val="18"/>
                <w:szCs w:val="18"/>
              </w:rPr>
              <w:t>、内部审核、管理评审</w:t>
            </w:r>
            <w:r>
              <w:rPr>
                <w:rFonts w:hint="eastAsia" w:cs="Arial" w:asciiTheme="minorEastAsia" w:hAnsiTheme="minorEastAsia" w:eastAsiaTheme="minorEastAsia"/>
                <w:bCs/>
                <w:sz w:val="18"/>
                <w:szCs w:val="18"/>
                <w:lang w:eastAsia="zh-CN"/>
              </w:rPr>
              <w:t>、</w:t>
            </w:r>
            <w:r>
              <w:rPr>
                <w:rFonts w:hint="eastAsia" w:asciiTheme="minorEastAsia" w:hAnsiTheme="minorEastAsia" w:eastAsiaTheme="minorEastAsia"/>
                <w:b/>
                <w:bCs/>
                <w:sz w:val="18"/>
                <w:szCs w:val="18"/>
                <w:u w:val="single"/>
              </w:rPr>
              <w:t>顾客投诉/重大的顾客反馈、重大体系事故、产品召回、行业抽查情况、初审不符合项问题验证、体系证书使用情况、资质更新情况等</w:t>
            </w:r>
          </w:p>
        </w:tc>
        <w:tc>
          <w:tcPr>
            <w:tcW w:w="2469" w:type="dxa"/>
            <w:shd w:val="clear" w:color="auto" w:fill="C7DAF1" w:themeFill="text2" w:themeFillTint="32"/>
            <w:vAlign w:val="top"/>
          </w:tcPr>
          <w:p>
            <w:pPr>
              <w:jc w:val="left"/>
              <w:rPr>
                <w:rFonts w:hint="eastAsia"/>
                <w:sz w:val="18"/>
                <w:szCs w:val="18"/>
              </w:rPr>
            </w:pPr>
            <w:r>
              <w:rPr>
                <w:rFonts w:hint="eastAsia"/>
                <w:sz w:val="18"/>
                <w:szCs w:val="18"/>
              </w:rPr>
              <w:t>FSMS：4.1/4.2/4.3/4.4/5.1/5.2/5.3/6.1/6.2/6.3/7.1.1/7.4/9.1.1/9.2/9.3/10.1/10.2/10.3</w:t>
            </w:r>
          </w:p>
          <w:p>
            <w:pPr>
              <w:jc w:val="left"/>
              <w:rPr>
                <w:rFonts w:hint="eastAsia"/>
                <w:sz w:val="18"/>
                <w:szCs w:val="18"/>
              </w:rPr>
            </w:pPr>
          </w:p>
        </w:tc>
        <w:tc>
          <w:tcPr>
            <w:tcW w:w="1069" w:type="dxa"/>
            <w:tcBorders>
              <w:right w:val="single" w:color="auto" w:sz="8" w:space="0"/>
            </w:tcBorders>
            <w:shd w:val="clear" w:color="auto" w:fill="C7DAF1" w:themeFill="text2" w:themeFillTint="32"/>
          </w:tcPr>
          <w:p>
            <w:pPr>
              <w:snapToGrid w:val="0"/>
              <w:spacing w:line="320" w:lineRule="exact"/>
              <w:rPr>
                <w:rFonts w:ascii="宋体" w:hAnsi="宋体"/>
                <w:b/>
                <w:bCs/>
                <w:sz w:val="18"/>
                <w:szCs w:val="18"/>
              </w:rPr>
            </w:pPr>
            <w:r>
              <w:rPr>
                <w:rFonts w:hint="eastAsia" w:ascii="宋体" w:hAnsi="宋体"/>
                <w:b/>
                <w:bCs/>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5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409" w:type="dxa"/>
            <w:shd w:val="clear" w:color="auto" w:fill="EBF1DE" w:themeFill="accent3" w:themeFillTint="32"/>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9</w:t>
            </w:r>
            <w:r>
              <w:rPr>
                <w:rFonts w:hint="eastAsia" w:ascii="宋体" w:hAnsi="宋体"/>
                <w:b/>
                <w:bCs/>
                <w:sz w:val="18"/>
                <w:szCs w:val="18"/>
              </w:rPr>
              <w:t>:</w:t>
            </w:r>
            <w:r>
              <w:rPr>
                <w:rFonts w:hint="eastAsia" w:ascii="宋体" w:hAnsi="宋体"/>
                <w:b/>
                <w:bCs/>
                <w:sz w:val="18"/>
                <w:szCs w:val="18"/>
                <w:lang w:val="en-US" w:eastAsia="zh-CN"/>
              </w:rPr>
              <w:t>3</w:t>
            </w:r>
            <w:r>
              <w:rPr>
                <w:rFonts w:hint="eastAsia" w:ascii="宋体" w:hAnsi="宋体"/>
                <w:b/>
                <w:bCs/>
                <w:sz w:val="18"/>
                <w:szCs w:val="18"/>
              </w:rPr>
              <w:t>0-1</w:t>
            </w:r>
            <w:r>
              <w:rPr>
                <w:rFonts w:hint="eastAsia" w:ascii="宋体" w:hAnsi="宋体"/>
                <w:b/>
                <w:bCs/>
                <w:sz w:val="18"/>
                <w:szCs w:val="18"/>
                <w:lang w:val="en-US" w:eastAsia="zh-CN"/>
              </w:rPr>
              <w:t>0:3</w:t>
            </w:r>
            <w:r>
              <w:rPr>
                <w:rFonts w:hint="eastAsia" w:ascii="宋体" w:hAnsi="宋体"/>
                <w:b/>
                <w:bCs/>
                <w:sz w:val="18"/>
                <w:szCs w:val="18"/>
              </w:rPr>
              <w:t>0</w:t>
            </w:r>
          </w:p>
        </w:tc>
        <w:tc>
          <w:tcPr>
            <w:tcW w:w="1370" w:type="dxa"/>
            <w:shd w:val="clear" w:color="auto" w:fill="EBF1DE" w:themeFill="accent3" w:themeFillTint="32"/>
            <w:vAlign w:val="top"/>
          </w:tcPr>
          <w:p>
            <w:pPr>
              <w:spacing w:line="300" w:lineRule="exact"/>
              <w:rPr>
                <w:rFonts w:hint="eastAsia" w:ascii="宋体" w:hAnsi="宋体" w:eastAsia="宋体" w:cs="Times New Roman"/>
                <w:b/>
                <w:bCs/>
                <w:kern w:val="2"/>
                <w:sz w:val="18"/>
                <w:szCs w:val="18"/>
                <w:lang w:val="en-US" w:eastAsia="zh-CN" w:bidi="ar-SA"/>
              </w:rPr>
            </w:pPr>
            <w:r>
              <w:rPr>
                <w:rFonts w:hint="eastAsia" w:ascii="宋体" w:hAnsi="宋体"/>
                <w:b/>
                <w:bCs/>
                <w:kern w:val="10"/>
                <w:sz w:val="18"/>
                <w:szCs w:val="18"/>
              </w:rPr>
              <w:t>食品安全小组</w:t>
            </w:r>
          </w:p>
        </w:tc>
        <w:tc>
          <w:tcPr>
            <w:tcW w:w="3038" w:type="dxa"/>
            <w:shd w:val="clear" w:color="auto" w:fill="EBF1DE" w:themeFill="accent3" w:themeFillTint="32"/>
            <w:vAlign w:val="top"/>
          </w:tcPr>
          <w:p>
            <w:pPr>
              <w:spacing w:line="300" w:lineRule="exact"/>
              <w:rPr>
                <w:rFonts w:hint="eastAsia" w:ascii="宋体" w:hAnsi="宋体" w:eastAsia="宋体" w:cs="Times New Roman"/>
                <w:kern w:val="2"/>
                <w:sz w:val="18"/>
                <w:szCs w:val="18"/>
                <w:lang w:val="en-US" w:eastAsia="zh-CN" w:bidi="ar-SA"/>
              </w:rPr>
            </w:pPr>
            <w:r>
              <w:rPr>
                <w:rFonts w:hint="eastAsia" w:asciiTheme="minorEastAsia" w:hAnsiTheme="minorEastAsia" w:eastAsiaTheme="minorEastAsia"/>
                <w:sz w:val="18"/>
                <w:szCs w:val="18"/>
              </w:rPr>
              <w:t>食品安全小组</w:t>
            </w:r>
            <w:r>
              <w:rPr>
                <w:rFonts w:hint="eastAsia" w:asciiTheme="minorEastAsia" w:hAnsiTheme="minorEastAsia" w:eastAsiaTheme="minorEastAsia"/>
                <w:sz w:val="18"/>
                <w:szCs w:val="18"/>
                <w:lang w:val="en-US" w:eastAsia="zh-CN"/>
              </w:rPr>
              <w:t>及职责</w:t>
            </w:r>
            <w:r>
              <w:rPr>
                <w:rFonts w:hint="eastAsia" w:asciiTheme="minorEastAsia" w:hAnsiTheme="minorEastAsia" w:eastAsiaTheme="minorEastAsia"/>
                <w:sz w:val="18"/>
                <w:szCs w:val="18"/>
              </w:rPr>
              <w:t>、前提方案、实施危害分析的预备步骤、危害分析</w:t>
            </w:r>
            <w:r>
              <w:rPr>
                <w:rFonts w:hint="eastAsia" w:cs="宋体" w:asciiTheme="minorEastAsia" w:hAnsiTheme="minorEastAsia" w:eastAsiaTheme="minorEastAsia"/>
                <w:sz w:val="18"/>
                <w:szCs w:val="18"/>
              </w:rPr>
              <w:t>和制定控制措施</w:t>
            </w:r>
            <w:r>
              <w:rPr>
                <w:rFonts w:hint="eastAsia" w:asciiTheme="minorEastAsia" w:hAnsiTheme="minorEastAsia" w:eastAsiaTheme="minorEastAsia"/>
                <w:sz w:val="18"/>
                <w:szCs w:val="18"/>
              </w:rPr>
              <w:t>、操作性前提方案(PRPs)的建立、危</w:t>
            </w:r>
            <w:r>
              <w:rPr>
                <w:rFonts w:asciiTheme="minorEastAsia" w:hAnsiTheme="minorEastAsia" w:eastAsiaTheme="minorEastAsia"/>
                <w:sz w:val="18"/>
                <w:szCs w:val="18"/>
              </w:rPr>
              <w:t>害控制</w:t>
            </w:r>
            <w:r>
              <w:rPr>
                <w:rFonts w:hint="eastAsia" w:asciiTheme="minorEastAsia" w:hAnsiTheme="minorEastAsia" w:eastAsiaTheme="minorEastAsia"/>
                <w:sz w:val="18"/>
                <w:szCs w:val="18"/>
              </w:rPr>
              <w:t>计划的建立、预备信息的更新、规定前提方案和危</w:t>
            </w:r>
            <w:r>
              <w:rPr>
                <w:rFonts w:asciiTheme="minorEastAsia" w:hAnsiTheme="minorEastAsia" w:eastAsiaTheme="minorEastAsia"/>
                <w:sz w:val="18"/>
                <w:szCs w:val="18"/>
              </w:rPr>
              <w:t>害控制</w:t>
            </w:r>
            <w:r>
              <w:rPr>
                <w:rFonts w:hint="eastAsia" w:asciiTheme="minorEastAsia" w:hAnsiTheme="minorEastAsia" w:eastAsiaTheme="minorEastAsia"/>
                <w:sz w:val="18"/>
                <w:szCs w:val="18"/>
              </w:rPr>
              <w:t>计划文件的更新、验证策划、标识和可追溯性系统/计划、控制措施组合的确认、食品安全管理体系的验证、改进、产品召回、应急预案、</w:t>
            </w:r>
            <w:r>
              <w:rPr>
                <w:rFonts w:hint="eastAsia" w:cs="宋体" w:asciiTheme="minorEastAsia" w:hAnsiTheme="minorEastAsia" w:eastAsiaTheme="minorEastAsia"/>
                <w:sz w:val="18"/>
                <w:szCs w:val="18"/>
              </w:rPr>
              <w:t xml:space="preserve"> H</w:t>
            </w:r>
            <w:r>
              <w:rPr>
                <w:rFonts w:cs="宋体" w:asciiTheme="minorEastAsia" w:hAnsiTheme="minorEastAsia" w:eastAsiaTheme="minorEastAsia"/>
                <w:sz w:val="18"/>
                <w:szCs w:val="18"/>
              </w:rPr>
              <w:t>ACCP</w:t>
            </w:r>
            <w:r>
              <w:rPr>
                <w:rFonts w:hint="eastAsia" w:cs="宋体" w:asciiTheme="minorEastAsia" w:hAnsiTheme="minorEastAsia" w:eastAsiaTheme="minorEastAsia"/>
                <w:sz w:val="18"/>
                <w:szCs w:val="18"/>
              </w:rPr>
              <w:t>记录的保持、食品安全管理体系更新</w:t>
            </w:r>
          </w:p>
        </w:tc>
        <w:tc>
          <w:tcPr>
            <w:tcW w:w="2469" w:type="dxa"/>
            <w:shd w:val="clear" w:color="auto" w:fill="EBF1DE" w:themeFill="accent3" w:themeFillTint="32"/>
            <w:vAlign w:val="top"/>
          </w:tcPr>
          <w:p>
            <w:pPr>
              <w:jc w:val="left"/>
              <w:rPr>
                <w:rFonts w:hint="eastAsia"/>
                <w:sz w:val="18"/>
                <w:szCs w:val="18"/>
              </w:rPr>
            </w:pPr>
            <w:r>
              <w:rPr>
                <w:rFonts w:hint="eastAsia"/>
                <w:sz w:val="18"/>
                <w:szCs w:val="18"/>
              </w:rPr>
              <w:t>FSMS:</w:t>
            </w:r>
          </w:p>
          <w:p>
            <w:pPr>
              <w:jc w:val="left"/>
              <w:rPr>
                <w:rFonts w:hint="eastAsia"/>
                <w:sz w:val="18"/>
                <w:szCs w:val="18"/>
              </w:rPr>
            </w:pPr>
            <w:r>
              <w:rPr>
                <w:rFonts w:hint="eastAsia"/>
                <w:sz w:val="18"/>
                <w:szCs w:val="18"/>
              </w:rPr>
              <w:t>5.3/7.1.5/8.1/8.2/8.3/8.4/8.5/8.6/8.8</w:t>
            </w:r>
          </w:p>
          <w:p>
            <w:pPr>
              <w:jc w:val="left"/>
              <w:rPr>
                <w:rFonts w:hint="eastAsia"/>
                <w:sz w:val="18"/>
                <w:szCs w:val="18"/>
              </w:rPr>
            </w:pPr>
          </w:p>
          <w:p>
            <w:pPr>
              <w:jc w:val="left"/>
              <w:rPr>
                <w:rFonts w:hint="eastAsia"/>
                <w:sz w:val="18"/>
                <w:szCs w:val="18"/>
                <w:lang w:val="en-US" w:eastAsia="zh-CN"/>
              </w:rPr>
            </w:pPr>
          </w:p>
        </w:tc>
        <w:tc>
          <w:tcPr>
            <w:tcW w:w="1069" w:type="dxa"/>
            <w:tcBorders>
              <w:right w:val="single" w:color="auto" w:sz="8" w:space="0"/>
            </w:tcBorders>
            <w:shd w:val="clear" w:color="auto" w:fill="EBF1DE" w:themeFill="accent3" w:themeFillTint="32"/>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rPr>
              <w:t>A</w:t>
            </w:r>
            <w:r>
              <w:rPr>
                <w:rFonts w:ascii="宋体" w:hAnsi="宋体"/>
                <w:b/>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5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409" w:type="dxa"/>
            <w:shd w:val="clear" w:color="auto" w:fill="C7DAF1" w:themeFill="text2" w:themeFillTint="32"/>
          </w:tcPr>
          <w:p>
            <w:pPr>
              <w:snapToGrid w:val="0"/>
              <w:spacing w:line="320" w:lineRule="exact"/>
              <w:rPr>
                <w:b/>
                <w:bCs/>
                <w:color w:val="FF0000"/>
                <w:sz w:val="18"/>
                <w:szCs w:val="18"/>
              </w:rPr>
            </w:pPr>
            <w:r>
              <w:rPr>
                <w:rFonts w:hint="eastAsia" w:ascii="宋体" w:hAnsi="宋体"/>
                <w:b/>
                <w:bCs/>
                <w:sz w:val="18"/>
                <w:szCs w:val="18"/>
              </w:rPr>
              <w:t>1</w:t>
            </w:r>
            <w:r>
              <w:rPr>
                <w:rFonts w:hint="eastAsia" w:ascii="宋体" w:hAnsi="宋体"/>
                <w:b/>
                <w:bCs/>
                <w:sz w:val="18"/>
                <w:szCs w:val="18"/>
                <w:lang w:val="en-US" w:eastAsia="zh-CN"/>
              </w:rPr>
              <w:t>0</w:t>
            </w:r>
            <w:r>
              <w:rPr>
                <w:rFonts w:hint="eastAsia" w:ascii="宋体" w:hAnsi="宋体"/>
                <w:b/>
                <w:bCs/>
                <w:sz w:val="18"/>
                <w:szCs w:val="18"/>
              </w:rPr>
              <w:t>:</w:t>
            </w:r>
            <w:r>
              <w:rPr>
                <w:rFonts w:hint="eastAsia" w:ascii="宋体" w:hAnsi="宋体"/>
                <w:b/>
                <w:bCs/>
                <w:sz w:val="18"/>
                <w:szCs w:val="18"/>
                <w:lang w:val="en-US" w:eastAsia="zh-CN"/>
              </w:rPr>
              <w:t>3</w:t>
            </w:r>
            <w:r>
              <w:rPr>
                <w:rFonts w:hint="eastAsia" w:ascii="宋体" w:hAnsi="宋体"/>
                <w:b/>
                <w:bCs/>
                <w:sz w:val="18"/>
                <w:szCs w:val="18"/>
              </w:rPr>
              <w:t>0-12:30</w:t>
            </w:r>
          </w:p>
        </w:tc>
        <w:tc>
          <w:tcPr>
            <w:tcW w:w="1370" w:type="dxa"/>
            <w:shd w:val="clear" w:color="auto" w:fill="C7DAF1" w:themeFill="text2" w:themeFillTint="32"/>
          </w:tcPr>
          <w:p>
            <w:pPr>
              <w:spacing w:line="300" w:lineRule="exact"/>
              <w:rPr>
                <w:b/>
                <w:bCs/>
                <w:color w:val="FF0000"/>
                <w:sz w:val="18"/>
                <w:szCs w:val="18"/>
              </w:rPr>
            </w:pPr>
            <w:r>
              <w:rPr>
                <w:rFonts w:hint="eastAsia"/>
                <w:b/>
                <w:bCs/>
                <w:sz w:val="18"/>
                <w:szCs w:val="18"/>
              </w:rPr>
              <w:t>餐饮管理部及现场（</w:t>
            </w:r>
            <w:r>
              <w:rPr>
                <w:b/>
                <w:bCs/>
                <w:sz w:val="18"/>
                <w:szCs w:val="18"/>
              </w:rPr>
              <w:t>含质</w:t>
            </w:r>
            <w:r>
              <w:rPr>
                <w:rFonts w:hint="eastAsia"/>
                <w:b/>
                <w:bCs/>
                <w:sz w:val="18"/>
                <w:szCs w:val="18"/>
              </w:rPr>
              <w:t>检</w:t>
            </w:r>
            <w:r>
              <w:rPr>
                <w:b/>
                <w:bCs/>
                <w:sz w:val="18"/>
                <w:szCs w:val="18"/>
              </w:rPr>
              <w:t>）</w:t>
            </w:r>
          </w:p>
        </w:tc>
        <w:tc>
          <w:tcPr>
            <w:tcW w:w="3038" w:type="dxa"/>
            <w:shd w:val="clear" w:color="auto" w:fill="C7DAF1" w:themeFill="text2" w:themeFillTint="32"/>
            <w:vAlign w:val="top"/>
          </w:tcPr>
          <w:p>
            <w:pPr>
              <w:spacing w:line="300" w:lineRule="exact"/>
              <w:rPr>
                <w:rFonts w:ascii="宋体" w:hAnsi="宋体"/>
                <w:color w:val="FF0000"/>
                <w:sz w:val="18"/>
                <w:szCs w:val="18"/>
              </w:rPr>
            </w:pPr>
            <w:r>
              <w:rPr>
                <w:rFonts w:hint="eastAsia" w:cs="Arial" w:asciiTheme="minorEastAsia" w:hAnsiTheme="minorEastAsia" w:eastAsiaTheme="minorEastAsia"/>
                <w:bCs/>
                <w:sz w:val="18"/>
                <w:szCs w:val="18"/>
              </w:rPr>
              <w:t>基础设施、</w:t>
            </w:r>
            <w:r>
              <w:rPr>
                <w:rFonts w:hint="eastAsia" w:asciiTheme="minorEastAsia" w:hAnsiTheme="minorEastAsia" w:eastAsiaTheme="minorEastAsia"/>
                <w:bCs/>
                <w:sz w:val="18"/>
                <w:szCs w:val="18"/>
              </w:rPr>
              <w:t>工作环境控制</w:t>
            </w:r>
            <w:r>
              <w:rPr>
                <w:rFonts w:hint="eastAsia" w:cs="Arial" w:asciiTheme="minorEastAsia" w:hAnsiTheme="minorEastAsia" w:eastAsiaTheme="minorEastAsia"/>
                <w:bCs/>
                <w:sz w:val="18"/>
                <w:szCs w:val="18"/>
              </w:rPr>
              <w:t>、关键控制点的监视系统及纠偏、可追溯性系统、潜在不符合品控制、OPRP及CCP控</w:t>
            </w:r>
            <w:r>
              <w:rPr>
                <w:rFonts w:cs="Arial" w:asciiTheme="minorEastAsia" w:hAnsiTheme="minorEastAsia" w:eastAsiaTheme="minorEastAsia"/>
                <w:bCs/>
                <w:sz w:val="18"/>
                <w:szCs w:val="18"/>
              </w:rPr>
              <w:t>制</w:t>
            </w:r>
            <w:r>
              <w:rPr>
                <w:rFonts w:hint="eastAsia" w:cs="Arial" w:asciiTheme="minorEastAsia" w:hAnsiTheme="minorEastAsia" w:eastAsiaTheme="minorEastAsia"/>
                <w:bCs/>
                <w:sz w:val="18"/>
                <w:szCs w:val="18"/>
              </w:rPr>
              <w:t>的现场情况、原材料和包装材料保障计划的现场情况、产品防护计划、维护和保障计划和控制、过程和产品的监视和测量、撤回/召回、应急准备和响应、计量器具的管理、食品添加剂管理等</w:t>
            </w:r>
          </w:p>
        </w:tc>
        <w:tc>
          <w:tcPr>
            <w:tcW w:w="2469" w:type="dxa"/>
            <w:shd w:val="clear" w:color="auto" w:fill="C7DAF1" w:themeFill="text2" w:themeFillTint="32"/>
            <w:vAlign w:val="top"/>
          </w:tcPr>
          <w:p>
            <w:pPr>
              <w:jc w:val="left"/>
              <w:rPr>
                <w:rFonts w:hint="eastAsia"/>
                <w:sz w:val="18"/>
                <w:szCs w:val="18"/>
              </w:rPr>
            </w:pPr>
            <w:r>
              <w:rPr>
                <w:rFonts w:hint="eastAsia"/>
                <w:sz w:val="18"/>
                <w:szCs w:val="18"/>
              </w:rPr>
              <w:t>FSMS:</w:t>
            </w:r>
          </w:p>
          <w:p>
            <w:pPr>
              <w:jc w:val="left"/>
              <w:rPr>
                <w:rFonts w:hint="eastAsia"/>
                <w:sz w:val="18"/>
                <w:szCs w:val="18"/>
              </w:rPr>
            </w:pPr>
            <w:r>
              <w:rPr>
                <w:rFonts w:hint="eastAsia"/>
                <w:sz w:val="18"/>
                <w:szCs w:val="18"/>
              </w:rPr>
              <w:t>5.3/6.2/7.1.3/7.1.4/8.2/8.3/8.4/8.5.4/8.7/8.9.1-8.9.4/8.9.5/9.1.2</w:t>
            </w:r>
          </w:p>
        </w:tc>
        <w:tc>
          <w:tcPr>
            <w:tcW w:w="1069" w:type="dxa"/>
            <w:tcBorders>
              <w:right w:val="single" w:color="auto" w:sz="8" w:space="0"/>
            </w:tcBorders>
            <w:shd w:val="clear" w:color="auto" w:fill="C7DAF1" w:themeFill="text2" w:themeFillTint="32"/>
          </w:tcPr>
          <w:p>
            <w:pPr>
              <w:snapToGrid w:val="0"/>
              <w:spacing w:line="320" w:lineRule="exact"/>
              <w:rPr>
                <w:rFonts w:ascii="宋体" w:hAnsi="宋体"/>
                <w:b/>
                <w:bCs/>
                <w:color w:val="FF0000"/>
                <w:sz w:val="18"/>
                <w:szCs w:val="18"/>
              </w:rPr>
            </w:pPr>
            <w:r>
              <w:rPr>
                <w:rFonts w:hint="eastAsia" w:ascii="宋体" w:hAnsi="宋体"/>
                <w:b/>
                <w:bCs/>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5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409" w:type="dxa"/>
            <w:shd w:val="clear" w:color="auto" w:fill="auto"/>
          </w:tcPr>
          <w:p>
            <w:pPr>
              <w:snapToGrid w:val="0"/>
              <w:spacing w:line="320" w:lineRule="exact"/>
              <w:rPr>
                <w:rFonts w:ascii="宋体" w:hAnsi="宋体"/>
                <w:b/>
                <w:bCs/>
                <w:color w:val="0000FF"/>
                <w:sz w:val="18"/>
                <w:szCs w:val="18"/>
              </w:rPr>
            </w:pPr>
            <w:r>
              <w:rPr>
                <w:rFonts w:hint="eastAsia" w:ascii="宋体" w:hAnsi="宋体"/>
                <w:b/>
                <w:bCs/>
                <w:color w:val="0000FF"/>
                <w:sz w:val="18"/>
                <w:szCs w:val="18"/>
              </w:rPr>
              <w:t>12:30-13:00</w:t>
            </w:r>
          </w:p>
        </w:tc>
        <w:tc>
          <w:tcPr>
            <w:tcW w:w="7946" w:type="dxa"/>
            <w:gridSpan w:val="4"/>
            <w:tcBorders>
              <w:right w:val="single" w:color="auto" w:sz="8" w:space="0"/>
            </w:tcBorders>
            <w:shd w:val="clear" w:color="auto" w:fill="auto"/>
          </w:tcPr>
          <w:p>
            <w:pPr>
              <w:snapToGrid w:val="0"/>
              <w:spacing w:line="320" w:lineRule="exact"/>
              <w:rPr>
                <w:rFonts w:ascii="宋体" w:hAnsi="宋体"/>
                <w:b/>
                <w:bCs/>
                <w:color w:val="0000FF"/>
                <w:sz w:val="18"/>
                <w:szCs w:val="18"/>
              </w:rPr>
            </w:pPr>
            <w:r>
              <w:rPr>
                <w:rFonts w:hint="eastAsia"/>
                <w:b/>
                <w:bCs/>
                <w:color w:val="0000FF"/>
                <w:sz w:val="18"/>
                <w:szCs w:val="18"/>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5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409" w:type="dxa"/>
            <w:shd w:val="clear" w:color="auto" w:fill="C7DAF1" w:themeFill="text2" w:themeFillTint="32"/>
          </w:tcPr>
          <w:p>
            <w:pPr>
              <w:snapToGrid w:val="0"/>
              <w:spacing w:line="320" w:lineRule="exact"/>
              <w:rPr>
                <w:rFonts w:ascii="宋体" w:hAnsi="宋体"/>
                <w:b/>
                <w:bCs/>
                <w:sz w:val="18"/>
                <w:szCs w:val="18"/>
              </w:rPr>
            </w:pPr>
            <w:r>
              <w:rPr>
                <w:rFonts w:hint="eastAsia" w:ascii="宋体" w:hAnsi="宋体"/>
                <w:b/>
                <w:bCs/>
                <w:sz w:val="18"/>
                <w:szCs w:val="18"/>
              </w:rPr>
              <w:t>13:00-1</w:t>
            </w:r>
            <w:r>
              <w:rPr>
                <w:rFonts w:hint="eastAsia" w:ascii="宋体" w:hAnsi="宋体"/>
                <w:b/>
                <w:bCs/>
                <w:sz w:val="18"/>
                <w:szCs w:val="18"/>
                <w:lang w:val="en-US" w:eastAsia="zh-CN"/>
              </w:rPr>
              <w:t>5</w:t>
            </w:r>
            <w:r>
              <w:rPr>
                <w:rFonts w:hint="eastAsia" w:ascii="宋体" w:hAnsi="宋体"/>
                <w:b/>
                <w:bCs/>
                <w:sz w:val="18"/>
                <w:szCs w:val="18"/>
              </w:rPr>
              <w:t>:</w:t>
            </w:r>
            <w:r>
              <w:rPr>
                <w:rFonts w:hint="eastAsia" w:ascii="宋体" w:hAnsi="宋体"/>
                <w:b/>
                <w:bCs/>
                <w:sz w:val="18"/>
                <w:szCs w:val="18"/>
                <w:lang w:val="en-US" w:eastAsia="zh-CN"/>
              </w:rPr>
              <w:t>0</w:t>
            </w:r>
            <w:r>
              <w:rPr>
                <w:rFonts w:hint="eastAsia" w:ascii="宋体" w:hAnsi="宋体"/>
                <w:b/>
                <w:bCs/>
                <w:sz w:val="18"/>
                <w:szCs w:val="18"/>
              </w:rPr>
              <w:t>0</w:t>
            </w:r>
          </w:p>
        </w:tc>
        <w:tc>
          <w:tcPr>
            <w:tcW w:w="1370" w:type="dxa"/>
            <w:shd w:val="clear" w:color="auto" w:fill="C7DAF1" w:themeFill="text2" w:themeFillTint="32"/>
            <w:vAlign w:val="top"/>
          </w:tcPr>
          <w:p>
            <w:pPr>
              <w:spacing w:line="300" w:lineRule="exact"/>
              <w:rPr>
                <w:rFonts w:hint="default" w:ascii="宋体" w:hAnsi="宋体" w:eastAsia="宋体"/>
                <w:b/>
                <w:bCs/>
                <w:sz w:val="18"/>
                <w:szCs w:val="18"/>
                <w:lang w:val="en-US" w:eastAsia="zh-CN"/>
              </w:rPr>
            </w:pPr>
            <w:r>
              <w:rPr>
                <w:rFonts w:hint="eastAsia"/>
                <w:b/>
                <w:bCs/>
                <w:sz w:val="18"/>
                <w:szCs w:val="18"/>
              </w:rPr>
              <w:t>餐饮管理部及现场（</w:t>
            </w:r>
            <w:r>
              <w:rPr>
                <w:b/>
                <w:bCs/>
                <w:sz w:val="18"/>
                <w:szCs w:val="18"/>
              </w:rPr>
              <w:t>含质</w:t>
            </w:r>
            <w:r>
              <w:rPr>
                <w:rFonts w:hint="eastAsia"/>
                <w:b/>
                <w:bCs/>
                <w:sz w:val="18"/>
                <w:szCs w:val="18"/>
              </w:rPr>
              <w:t>检</w:t>
            </w:r>
            <w:r>
              <w:rPr>
                <w:b/>
                <w:bCs/>
                <w:sz w:val="18"/>
                <w:szCs w:val="18"/>
              </w:rPr>
              <w:t>）</w:t>
            </w:r>
            <w:r>
              <w:rPr>
                <w:rFonts w:hint="eastAsia"/>
                <w:b/>
                <w:bCs/>
                <w:sz w:val="18"/>
                <w:szCs w:val="18"/>
                <w:lang w:eastAsia="zh-CN"/>
              </w:rPr>
              <w:t>——</w:t>
            </w:r>
            <w:r>
              <w:rPr>
                <w:rFonts w:hint="eastAsia"/>
                <w:b/>
                <w:bCs/>
                <w:sz w:val="18"/>
                <w:szCs w:val="18"/>
                <w:lang w:val="en-US" w:eastAsia="zh-CN"/>
              </w:rPr>
              <w:t>继续审核</w:t>
            </w:r>
          </w:p>
        </w:tc>
        <w:tc>
          <w:tcPr>
            <w:tcW w:w="3038" w:type="dxa"/>
            <w:shd w:val="clear" w:color="auto" w:fill="C7DAF1" w:themeFill="text2" w:themeFillTint="32"/>
            <w:vAlign w:val="top"/>
          </w:tcPr>
          <w:p>
            <w:pPr>
              <w:spacing w:line="300" w:lineRule="exact"/>
              <w:rPr>
                <w:rFonts w:ascii="宋体" w:hAnsi="宋体"/>
                <w:sz w:val="18"/>
                <w:szCs w:val="18"/>
              </w:rPr>
            </w:pPr>
            <w:r>
              <w:rPr>
                <w:rFonts w:hint="eastAsia" w:cs="Arial" w:asciiTheme="minorEastAsia" w:hAnsiTheme="minorEastAsia" w:eastAsiaTheme="minorEastAsia"/>
                <w:bCs/>
                <w:sz w:val="18"/>
                <w:szCs w:val="18"/>
              </w:rPr>
              <w:t>基础设施、</w:t>
            </w:r>
            <w:r>
              <w:rPr>
                <w:rFonts w:hint="eastAsia" w:asciiTheme="minorEastAsia" w:hAnsiTheme="minorEastAsia" w:eastAsiaTheme="minorEastAsia"/>
                <w:bCs/>
                <w:sz w:val="18"/>
                <w:szCs w:val="18"/>
              </w:rPr>
              <w:t>工作环境控制</w:t>
            </w:r>
            <w:r>
              <w:rPr>
                <w:rFonts w:hint="eastAsia" w:cs="Arial" w:asciiTheme="minorEastAsia" w:hAnsiTheme="minorEastAsia" w:eastAsiaTheme="minorEastAsia"/>
                <w:bCs/>
                <w:sz w:val="18"/>
                <w:szCs w:val="18"/>
              </w:rPr>
              <w:t>、关键控制点的监视系统及纠偏、可追溯性系统、潜在不符合品控制、OPRP及CCP控</w:t>
            </w:r>
            <w:r>
              <w:rPr>
                <w:rFonts w:cs="Arial" w:asciiTheme="minorEastAsia" w:hAnsiTheme="minorEastAsia" w:eastAsiaTheme="minorEastAsia"/>
                <w:bCs/>
                <w:sz w:val="18"/>
                <w:szCs w:val="18"/>
              </w:rPr>
              <w:t>制</w:t>
            </w:r>
            <w:r>
              <w:rPr>
                <w:rFonts w:hint="eastAsia" w:cs="Arial" w:asciiTheme="minorEastAsia" w:hAnsiTheme="minorEastAsia" w:eastAsiaTheme="minorEastAsia"/>
                <w:bCs/>
                <w:sz w:val="18"/>
                <w:szCs w:val="18"/>
              </w:rPr>
              <w:t>的现场情况、原材料和包装材料保障计划的现场情况、产品防护计划、维护和保障计划和控制、过程和产品的监视和测量、撤回/召回、应急准备和响应、计量器具的管理、食品添加剂管理等</w:t>
            </w:r>
          </w:p>
        </w:tc>
        <w:tc>
          <w:tcPr>
            <w:tcW w:w="2469" w:type="dxa"/>
            <w:shd w:val="clear" w:color="auto" w:fill="C7DAF1" w:themeFill="text2" w:themeFillTint="32"/>
            <w:vAlign w:val="top"/>
          </w:tcPr>
          <w:p>
            <w:pPr>
              <w:jc w:val="left"/>
              <w:rPr>
                <w:rFonts w:hint="eastAsia"/>
                <w:sz w:val="18"/>
                <w:szCs w:val="18"/>
              </w:rPr>
            </w:pPr>
            <w:r>
              <w:rPr>
                <w:rFonts w:hint="eastAsia"/>
                <w:sz w:val="18"/>
                <w:szCs w:val="18"/>
              </w:rPr>
              <w:t>FSMS:</w:t>
            </w:r>
          </w:p>
          <w:p>
            <w:pPr>
              <w:jc w:val="left"/>
              <w:rPr>
                <w:bCs/>
                <w:sz w:val="18"/>
                <w:szCs w:val="18"/>
              </w:rPr>
            </w:pPr>
            <w:r>
              <w:rPr>
                <w:rFonts w:hint="eastAsia"/>
                <w:sz w:val="18"/>
                <w:szCs w:val="18"/>
              </w:rPr>
              <w:t>5.3/6.2/7.1.3/7.1.4/8.2/8.3/8.4/8.5.4/8.7/8.9.1-8.9.4/8.9.5/9.1.2</w:t>
            </w:r>
          </w:p>
        </w:tc>
        <w:tc>
          <w:tcPr>
            <w:tcW w:w="1069" w:type="dxa"/>
            <w:tcBorders>
              <w:right w:val="single" w:color="auto" w:sz="8" w:space="0"/>
            </w:tcBorders>
            <w:shd w:val="clear" w:color="auto" w:fill="C7DAF1" w:themeFill="text2" w:themeFillTint="32"/>
            <w:vAlign w:val="top"/>
          </w:tcPr>
          <w:p>
            <w:pPr>
              <w:snapToGrid w:val="0"/>
              <w:spacing w:line="320" w:lineRule="exact"/>
              <w:rPr>
                <w:rFonts w:ascii="宋体" w:hAnsi="宋体"/>
                <w:b/>
                <w:bCs/>
                <w:sz w:val="18"/>
                <w:szCs w:val="18"/>
              </w:rPr>
            </w:pPr>
            <w:r>
              <w:rPr>
                <w:rFonts w:hint="eastAsia" w:ascii="宋体" w:hAnsi="宋体"/>
                <w:b/>
                <w:bCs/>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5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409" w:type="dxa"/>
            <w:shd w:val="clear" w:color="auto" w:fill="EBF1DE" w:themeFill="accent3" w:themeFillTint="32"/>
          </w:tcPr>
          <w:p>
            <w:pPr>
              <w:snapToGrid w:val="0"/>
              <w:spacing w:line="320" w:lineRule="exact"/>
              <w:rPr>
                <w:rFonts w:ascii="宋体" w:hAnsi="宋体"/>
                <w:b/>
                <w:bCs/>
                <w:sz w:val="18"/>
                <w:szCs w:val="18"/>
              </w:rPr>
            </w:pPr>
            <w:r>
              <w:rPr>
                <w:rFonts w:ascii="宋体" w:hAnsi="宋体"/>
                <w:b/>
                <w:bCs/>
                <w:sz w:val="18"/>
                <w:szCs w:val="18"/>
              </w:rPr>
              <w:t>1</w:t>
            </w:r>
            <w:r>
              <w:rPr>
                <w:rFonts w:hint="eastAsia" w:ascii="宋体" w:hAnsi="宋体"/>
                <w:b/>
                <w:bCs/>
                <w:sz w:val="18"/>
                <w:szCs w:val="18"/>
                <w:lang w:val="en-US" w:eastAsia="zh-CN"/>
              </w:rPr>
              <w:t>5</w:t>
            </w:r>
            <w:r>
              <w:rPr>
                <w:rFonts w:hint="eastAsia" w:ascii="宋体" w:hAnsi="宋体"/>
                <w:b/>
                <w:bCs/>
                <w:sz w:val="18"/>
                <w:szCs w:val="18"/>
              </w:rPr>
              <w:t>:</w:t>
            </w:r>
            <w:r>
              <w:rPr>
                <w:rFonts w:hint="eastAsia" w:ascii="宋体" w:hAnsi="宋体"/>
                <w:b/>
                <w:bCs/>
                <w:sz w:val="18"/>
                <w:szCs w:val="18"/>
                <w:lang w:val="en-US" w:eastAsia="zh-CN"/>
              </w:rPr>
              <w:t>0</w:t>
            </w:r>
            <w:r>
              <w:rPr>
                <w:rFonts w:ascii="宋体" w:hAnsi="宋体"/>
                <w:b/>
                <w:bCs/>
                <w:sz w:val="18"/>
                <w:szCs w:val="18"/>
              </w:rPr>
              <w:t>0</w:t>
            </w:r>
            <w:r>
              <w:rPr>
                <w:rFonts w:hint="eastAsia" w:ascii="宋体" w:hAnsi="宋体"/>
                <w:b/>
                <w:bCs/>
                <w:sz w:val="18"/>
                <w:szCs w:val="18"/>
              </w:rPr>
              <w:t>-1</w:t>
            </w:r>
            <w:r>
              <w:rPr>
                <w:rFonts w:hint="eastAsia" w:ascii="宋体" w:hAnsi="宋体"/>
                <w:b/>
                <w:bCs/>
                <w:sz w:val="18"/>
                <w:szCs w:val="18"/>
                <w:lang w:val="en-US" w:eastAsia="zh-CN"/>
              </w:rPr>
              <w:t>6</w:t>
            </w:r>
            <w:r>
              <w:rPr>
                <w:rFonts w:hint="eastAsia" w:ascii="宋体" w:hAnsi="宋体"/>
                <w:b/>
                <w:bCs/>
                <w:sz w:val="18"/>
                <w:szCs w:val="18"/>
              </w:rPr>
              <w:t>:</w:t>
            </w:r>
            <w:r>
              <w:rPr>
                <w:rFonts w:hint="eastAsia" w:ascii="宋体" w:hAnsi="宋体"/>
                <w:b/>
                <w:bCs/>
                <w:sz w:val="18"/>
                <w:szCs w:val="18"/>
                <w:lang w:val="en-US" w:eastAsia="zh-CN"/>
              </w:rPr>
              <w:t>0</w:t>
            </w:r>
            <w:r>
              <w:rPr>
                <w:rFonts w:hint="eastAsia" w:ascii="宋体" w:hAnsi="宋体"/>
                <w:b/>
                <w:bCs/>
                <w:sz w:val="18"/>
                <w:szCs w:val="18"/>
              </w:rPr>
              <w:t>0</w:t>
            </w:r>
          </w:p>
        </w:tc>
        <w:tc>
          <w:tcPr>
            <w:tcW w:w="1370" w:type="dxa"/>
            <w:shd w:val="clear" w:color="auto" w:fill="EBF1DE" w:themeFill="accent3" w:themeFillTint="32"/>
          </w:tcPr>
          <w:p>
            <w:pPr>
              <w:jc w:val="left"/>
              <w:rPr>
                <w:rFonts w:ascii="宋体" w:hAnsi="宋体"/>
                <w:b/>
                <w:bCs/>
                <w:kern w:val="10"/>
                <w:sz w:val="18"/>
                <w:szCs w:val="18"/>
              </w:rPr>
            </w:pPr>
            <w:r>
              <w:rPr>
                <w:rFonts w:hint="eastAsia"/>
                <w:b/>
                <w:bCs/>
                <w:sz w:val="18"/>
                <w:szCs w:val="18"/>
              </w:rPr>
              <w:t>采</w:t>
            </w:r>
            <w:r>
              <w:rPr>
                <w:b/>
                <w:bCs/>
                <w:sz w:val="18"/>
                <w:szCs w:val="18"/>
              </w:rPr>
              <w:t>购部</w:t>
            </w:r>
          </w:p>
        </w:tc>
        <w:tc>
          <w:tcPr>
            <w:tcW w:w="3038" w:type="dxa"/>
            <w:shd w:val="clear" w:color="auto" w:fill="EBF1DE" w:themeFill="accent3" w:themeFillTint="32"/>
          </w:tcPr>
          <w:p>
            <w:pPr>
              <w:spacing w:line="300" w:lineRule="exact"/>
              <w:rPr>
                <w:rFonts w:cs="Arial"/>
                <w:bCs/>
                <w:sz w:val="18"/>
                <w:szCs w:val="18"/>
              </w:rPr>
            </w:pPr>
            <w:r>
              <w:rPr>
                <w:rFonts w:hint="eastAsia" w:cs="Arial"/>
                <w:bCs/>
                <w:sz w:val="18"/>
                <w:szCs w:val="18"/>
              </w:rPr>
              <w:t>目标、职责、</w:t>
            </w:r>
            <w:r>
              <w:rPr>
                <w:rFonts w:hint="eastAsia" w:ascii="宋体" w:hAnsi="宋体"/>
                <w:sz w:val="18"/>
                <w:szCs w:val="18"/>
              </w:rPr>
              <w:t>外部提供的过程、原材料和包装材料保障计划等</w:t>
            </w:r>
          </w:p>
        </w:tc>
        <w:tc>
          <w:tcPr>
            <w:tcW w:w="2469" w:type="dxa"/>
            <w:shd w:val="clear" w:color="auto" w:fill="EBF1DE" w:themeFill="accent3" w:themeFillTint="32"/>
          </w:tcPr>
          <w:p>
            <w:pPr>
              <w:jc w:val="left"/>
              <w:rPr>
                <w:sz w:val="18"/>
                <w:szCs w:val="18"/>
              </w:rPr>
            </w:pPr>
            <w:r>
              <w:rPr>
                <w:rFonts w:hint="eastAsia"/>
                <w:sz w:val="18"/>
                <w:szCs w:val="18"/>
              </w:rPr>
              <w:t>FSMS:</w:t>
            </w:r>
            <w:r>
              <w:rPr>
                <w:rFonts w:hint="eastAsia" w:cs="Arial"/>
                <w:bCs/>
                <w:sz w:val="18"/>
                <w:szCs w:val="18"/>
              </w:rPr>
              <w:t>5</w:t>
            </w:r>
            <w:r>
              <w:rPr>
                <w:rFonts w:cs="Arial"/>
                <w:bCs/>
                <w:sz w:val="18"/>
                <w:szCs w:val="18"/>
              </w:rPr>
              <w:t>.3/6.2/</w:t>
            </w:r>
            <w:r>
              <w:rPr>
                <w:rFonts w:cs="Arial"/>
                <w:sz w:val="18"/>
                <w:szCs w:val="18"/>
              </w:rPr>
              <w:t>7.1.6</w:t>
            </w:r>
          </w:p>
          <w:p>
            <w:pPr>
              <w:autoSpaceDE w:val="0"/>
              <w:autoSpaceDN w:val="0"/>
              <w:adjustRightInd w:val="0"/>
              <w:jc w:val="left"/>
              <w:rPr>
                <w:rFonts w:cs="Arial"/>
                <w:bCs/>
                <w:sz w:val="18"/>
                <w:szCs w:val="18"/>
              </w:rPr>
            </w:pPr>
          </w:p>
          <w:p>
            <w:pPr>
              <w:autoSpaceDE w:val="0"/>
              <w:autoSpaceDN w:val="0"/>
              <w:adjustRightInd w:val="0"/>
              <w:jc w:val="left"/>
              <w:rPr>
                <w:rFonts w:cs="Arial"/>
                <w:bCs/>
                <w:sz w:val="18"/>
                <w:szCs w:val="18"/>
              </w:rPr>
            </w:pPr>
          </w:p>
        </w:tc>
        <w:tc>
          <w:tcPr>
            <w:tcW w:w="1069" w:type="dxa"/>
            <w:tcBorders>
              <w:right w:val="single" w:color="auto" w:sz="8" w:space="0"/>
            </w:tcBorders>
            <w:shd w:val="clear" w:color="auto" w:fill="EBF1DE" w:themeFill="accent3" w:themeFillTint="32"/>
          </w:tcPr>
          <w:p>
            <w:pPr>
              <w:snapToGrid w:val="0"/>
              <w:spacing w:line="320" w:lineRule="exact"/>
              <w:rPr>
                <w:rFonts w:ascii="宋体" w:hAnsi="宋体"/>
                <w:b/>
                <w:bCs/>
                <w:sz w:val="18"/>
                <w:szCs w:val="18"/>
              </w:rPr>
            </w:pPr>
            <w:r>
              <w:rPr>
                <w:rFonts w:hint="eastAsia" w:ascii="宋体" w:hAnsi="宋体"/>
                <w:b/>
                <w:bCs/>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5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409" w:type="dxa"/>
            <w:shd w:val="clear" w:color="auto" w:fill="C7DAF1" w:themeFill="text2" w:themeFillTint="32"/>
          </w:tcPr>
          <w:p>
            <w:pPr>
              <w:snapToGrid w:val="0"/>
              <w:spacing w:line="320" w:lineRule="exact"/>
              <w:rPr>
                <w:b/>
                <w:bCs/>
                <w:color w:val="000000"/>
                <w:sz w:val="18"/>
                <w:szCs w:val="18"/>
              </w:rPr>
            </w:pPr>
            <w:r>
              <w:rPr>
                <w:rFonts w:ascii="宋体" w:hAnsi="宋体"/>
                <w:b/>
                <w:bCs/>
                <w:sz w:val="18"/>
                <w:szCs w:val="18"/>
              </w:rPr>
              <w:t>1</w:t>
            </w:r>
            <w:r>
              <w:rPr>
                <w:rFonts w:hint="eastAsia" w:ascii="宋体" w:hAnsi="宋体"/>
                <w:b/>
                <w:bCs/>
                <w:sz w:val="18"/>
                <w:szCs w:val="18"/>
                <w:lang w:val="en-US" w:eastAsia="zh-CN"/>
              </w:rPr>
              <w:t>6</w:t>
            </w:r>
            <w:r>
              <w:rPr>
                <w:rFonts w:hint="eastAsia" w:ascii="宋体" w:hAnsi="宋体"/>
                <w:b/>
                <w:bCs/>
                <w:sz w:val="18"/>
                <w:szCs w:val="18"/>
              </w:rPr>
              <w:t>:</w:t>
            </w:r>
            <w:r>
              <w:rPr>
                <w:rFonts w:hint="eastAsia" w:ascii="宋体" w:hAnsi="宋体"/>
                <w:b/>
                <w:bCs/>
                <w:sz w:val="18"/>
                <w:szCs w:val="18"/>
                <w:lang w:val="en-US" w:eastAsia="zh-CN"/>
              </w:rPr>
              <w:t>0</w:t>
            </w:r>
            <w:r>
              <w:rPr>
                <w:rFonts w:hint="eastAsia" w:ascii="宋体" w:hAnsi="宋体"/>
                <w:b/>
                <w:bCs/>
                <w:sz w:val="18"/>
                <w:szCs w:val="18"/>
              </w:rPr>
              <w:t>0-1</w:t>
            </w:r>
            <w:r>
              <w:rPr>
                <w:rFonts w:ascii="宋体" w:hAnsi="宋体"/>
                <w:b/>
                <w:bCs/>
                <w:sz w:val="18"/>
                <w:szCs w:val="18"/>
              </w:rPr>
              <w:t>6</w:t>
            </w:r>
            <w:r>
              <w:rPr>
                <w:rFonts w:hint="eastAsia" w:ascii="宋体" w:hAnsi="宋体"/>
                <w:b/>
                <w:bCs/>
                <w:sz w:val="18"/>
                <w:szCs w:val="18"/>
              </w:rPr>
              <w:t>:</w:t>
            </w:r>
            <w:r>
              <w:rPr>
                <w:rFonts w:hint="eastAsia" w:ascii="宋体" w:hAnsi="宋体"/>
                <w:b/>
                <w:bCs/>
                <w:sz w:val="18"/>
                <w:szCs w:val="18"/>
                <w:lang w:val="en-US" w:eastAsia="zh-CN"/>
              </w:rPr>
              <w:t>3</w:t>
            </w:r>
            <w:r>
              <w:rPr>
                <w:rFonts w:hint="eastAsia" w:ascii="宋体" w:hAnsi="宋体"/>
                <w:b/>
                <w:bCs/>
                <w:sz w:val="18"/>
                <w:szCs w:val="18"/>
              </w:rPr>
              <w:t>0</w:t>
            </w:r>
          </w:p>
        </w:tc>
        <w:tc>
          <w:tcPr>
            <w:tcW w:w="1370" w:type="dxa"/>
            <w:shd w:val="clear" w:color="auto" w:fill="C7DAF1" w:themeFill="text2" w:themeFillTint="32"/>
          </w:tcPr>
          <w:p>
            <w:pPr>
              <w:jc w:val="left"/>
              <w:rPr>
                <w:rFonts w:hint="eastAsia"/>
                <w:b/>
                <w:bCs/>
                <w:sz w:val="18"/>
                <w:szCs w:val="18"/>
                <w:lang w:eastAsia="zh-CN"/>
              </w:rPr>
            </w:pPr>
            <w:r>
              <w:rPr>
                <w:rFonts w:hint="eastAsia"/>
                <w:b/>
                <w:bCs/>
                <w:sz w:val="18"/>
                <w:szCs w:val="18"/>
                <w:lang w:val="en-US" w:eastAsia="zh-CN"/>
              </w:rPr>
              <w:t>综合部</w:t>
            </w:r>
            <w:bookmarkStart w:id="34" w:name="_GoBack"/>
            <w:bookmarkEnd w:id="34"/>
          </w:p>
        </w:tc>
        <w:tc>
          <w:tcPr>
            <w:tcW w:w="3038" w:type="dxa"/>
            <w:shd w:val="clear" w:color="auto" w:fill="C7DAF1" w:themeFill="text2" w:themeFillTint="32"/>
            <w:vAlign w:val="top"/>
          </w:tcPr>
          <w:p>
            <w:pPr>
              <w:spacing w:after="40"/>
              <w:rPr>
                <w:rFonts w:hint="eastAsia" w:eastAsiaTheme="minorEastAsia"/>
                <w:b/>
                <w:bCs/>
                <w:sz w:val="18"/>
                <w:szCs w:val="18"/>
                <w:lang w:val="en-US" w:eastAsia="zh-CN"/>
              </w:rPr>
            </w:pPr>
            <w:r>
              <w:rPr>
                <w:rFonts w:hint="eastAsia" w:cs="Arial" w:asciiTheme="minorEastAsia" w:hAnsiTheme="minorEastAsia" w:eastAsiaTheme="minorEastAsia"/>
                <w:bCs/>
                <w:sz w:val="18"/>
                <w:szCs w:val="18"/>
              </w:rPr>
              <w:t>岗位职责/权限、文件和记录管理、</w:t>
            </w:r>
            <w:r>
              <w:rPr>
                <w:rFonts w:hint="eastAsia" w:asciiTheme="minorEastAsia" w:hAnsiTheme="minorEastAsia" w:eastAsiaTheme="minorEastAsia"/>
                <w:sz w:val="18"/>
                <w:szCs w:val="18"/>
              </w:rPr>
              <w:t>目标管理、内外部沟通、</w:t>
            </w:r>
            <w:r>
              <w:rPr>
                <w:rFonts w:hint="eastAsia" w:cs="Arial" w:asciiTheme="minorEastAsia" w:hAnsiTheme="minorEastAsia" w:eastAsiaTheme="minorEastAsia"/>
                <w:bCs/>
                <w:sz w:val="18"/>
                <w:szCs w:val="18"/>
              </w:rPr>
              <w:t>人员健康管理、持证上岗人员、人员招聘、员工培训及有效性评价、分析和评估、</w:t>
            </w:r>
            <w:r>
              <w:rPr>
                <w:rFonts w:hint="eastAsia" w:asciiTheme="minorEastAsia" w:hAnsiTheme="minorEastAsia" w:eastAsiaTheme="minorEastAsia"/>
                <w:sz w:val="18"/>
                <w:szCs w:val="18"/>
              </w:rPr>
              <w:t>工作环境、不合格和纠正措施</w:t>
            </w:r>
            <w:r>
              <w:rPr>
                <w:rFonts w:hint="eastAsia" w:asciiTheme="minorEastAsia" w:hAnsiTheme="minorEastAsia" w:eastAsiaTheme="minorEastAsia"/>
                <w:sz w:val="18"/>
                <w:szCs w:val="18"/>
                <w:lang w:val="en-US" w:eastAsia="zh-CN"/>
              </w:rPr>
              <w:t>等</w:t>
            </w:r>
          </w:p>
        </w:tc>
        <w:tc>
          <w:tcPr>
            <w:tcW w:w="2469" w:type="dxa"/>
            <w:shd w:val="clear" w:color="auto" w:fill="C7DAF1" w:themeFill="text2" w:themeFillTint="32"/>
            <w:vAlign w:val="top"/>
          </w:tcPr>
          <w:p>
            <w:pPr>
              <w:autoSpaceDE w:val="0"/>
              <w:autoSpaceDN w:val="0"/>
              <w:adjustRightInd w:val="0"/>
              <w:jc w:val="left"/>
              <w:rPr>
                <w:sz w:val="18"/>
                <w:szCs w:val="18"/>
              </w:rPr>
            </w:pPr>
            <w:r>
              <w:rPr>
                <w:rFonts w:hint="eastAsia"/>
                <w:sz w:val="18"/>
                <w:szCs w:val="18"/>
              </w:rPr>
              <w:t>FSMS：5.3/6.2/7.1.2/7.2/7.3/7.4/7.5</w:t>
            </w:r>
          </w:p>
        </w:tc>
        <w:tc>
          <w:tcPr>
            <w:tcW w:w="1069" w:type="dxa"/>
            <w:tcBorders>
              <w:right w:val="single" w:color="auto" w:sz="8" w:space="0"/>
            </w:tcBorders>
            <w:shd w:val="clear" w:color="auto" w:fill="C7DAF1" w:themeFill="text2" w:themeFillTint="32"/>
          </w:tcPr>
          <w:p>
            <w:pPr>
              <w:snapToGrid w:val="0"/>
              <w:spacing w:line="320" w:lineRule="exact"/>
              <w:rPr>
                <w:rFonts w:ascii="宋体" w:hAnsi="宋体"/>
                <w:b/>
                <w:bCs/>
                <w:sz w:val="18"/>
                <w:szCs w:val="18"/>
              </w:rPr>
            </w:pPr>
            <w:r>
              <w:rPr>
                <w:rFonts w:hint="eastAsia" w:ascii="宋体" w:hAnsi="宋体"/>
                <w:b/>
                <w:bCs/>
                <w:color w:val="auto"/>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59" w:type="dxa"/>
            <w:vMerge w:val="continue"/>
            <w:tcBorders>
              <w:left w:val="single" w:color="auto" w:sz="8" w:space="0"/>
            </w:tcBorders>
            <w:shd w:val="clear" w:color="auto" w:fill="auto"/>
          </w:tcPr>
          <w:p>
            <w:pPr>
              <w:snapToGrid w:val="0"/>
              <w:spacing w:line="320" w:lineRule="exact"/>
              <w:rPr>
                <w:rFonts w:ascii="宋体" w:hAnsi="宋体"/>
                <w:b/>
                <w:bCs/>
                <w:sz w:val="18"/>
                <w:szCs w:val="18"/>
              </w:rPr>
            </w:pPr>
          </w:p>
        </w:tc>
        <w:tc>
          <w:tcPr>
            <w:tcW w:w="1409" w:type="dxa"/>
            <w:shd w:val="clear" w:color="auto" w:fill="auto"/>
          </w:tcPr>
          <w:p>
            <w:pPr>
              <w:snapToGrid w:val="0"/>
              <w:spacing w:line="320" w:lineRule="exact"/>
              <w:rPr>
                <w:b/>
                <w:bCs/>
                <w:sz w:val="18"/>
                <w:szCs w:val="18"/>
              </w:rPr>
            </w:pPr>
            <w:r>
              <w:rPr>
                <w:rFonts w:hint="eastAsia"/>
                <w:b/>
                <w:bCs/>
                <w:sz w:val="18"/>
                <w:szCs w:val="18"/>
              </w:rPr>
              <w:t>1</w:t>
            </w:r>
            <w:r>
              <w:rPr>
                <w:b/>
                <w:bCs/>
                <w:sz w:val="18"/>
                <w:szCs w:val="18"/>
              </w:rPr>
              <w:t>6</w:t>
            </w:r>
            <w:r>
              <w:rPr>
                <w:rFonts w:hint="eastAsia"/>
                <w:b/>
                <w:bCs/>
                <w:sz w:val="18"/>
                <w:szCs w:val="18"/>
              </w:rPr>
              <w:t>:</w:t>
            </w:r>
            <w:r>
              <w:rPr>
                <w:rFonts w:hint="eastAsia"/>
                <w:b/>
                <w:bCs/>
                <w:sz w:val="18"/>
                <w:szCs w:val="18"/>
                <w:lang w:val="en-US" w:eastAsia="zh-CN"/>
              </w:rPr>
              <w:t>3</w:t>
            </w:r>
            <w:r>
              <w:rPr>
                <w:rFonts w:hint="eastAsia"/>
                <w:b/>
                <w:bCs/>
                <w:sz w:val="18"/>
                <w:szCs w:val="18"/>
              </w:rPr>
              <w:t>0</w:t>
            </w:r>
            <w:r>
              <w:rPr>
                <w:b/>
                <w:bCs/>
                <w:sz w:val="18"/>
                <w:szCs w:val="18"/>
              </w:rPr>
              <w:t>-1</w:t>
            </w:r>
            <w:r>
              <w:rPr>
                <w:rFonts w:hint="eastAsia"/>
                <w:b/>
                <w:bCs/>
                <w:sz w:val="18"/>
                <w:szCs w:val="18"/>
                <w:lang w:val="en-US" w:eastAsia="zh-CN"/>
              </w:rPr>
              <w:t>7</w:t>
            </w:r>
            <w:r>
              <w:rPr>
                <w:b/>
                <w:bCs/>
                <w:sz w:val="18"/>
                <w:szCs w:val="18"/>
              </w:rPr>
              <w:t>:</w:t>
            </w:r>
            <w:r>
              <w:rPr>
                <w:rFonts w:hint="eastAsia"/>
                <w:b/>
                <w:bCs/>
                <w:sz w:val="18"/>
                <w:szCs w:val="18"/>
                <w:lang w:val="en-US" w:eastAsia="zh-CN"/>
              </w:rPr>
              <w:t>0</w:t>
            </w:r>
            <w:r>
              <w:rPr>
                <w:b/>
                <w:bCs/>
                <w:sz w:val="18"/>
                <w:szCs w:val="18"/>
              </w:rPr>
              <w:t>0</w:t>
            </w:r>
          </w:p>
        </w:tc>
        <w:tc>
          <w:tcPr>
            <w:tcW w:w="4408" w:type="dxa"/>
            <w:gridSpan w:val="2"/>
            <w:shd w:val="clear" w:color="auto" w:fill="auto"/>
          </w:tcPr>
          <w:p>
            <w:pPr>
              <w:spacing w:line="300" w:lineRule="exact"/>
              <w:rPr>
                <w:sz w:val="18"/>
                <w:szCs w:val="18"/>
              </w:rPr>
            </w:pPr>
            <w:r>
              <w:rPr>
                <w:rFonts w:hint="eastAsia"/>
                <w:color w:val="000000"/>
                <w:sz w:val="18"/>
                <w:szCs w:val="18"/>
              </w:rPr>
              <w:t>末次会议</w:t>
            </w:r>
          </w:p>
        </w:tc>
        <w:tc>
          <w:tcPr>
            <w:tcW w:w="2469" w:type="dxa"/>
            <w:shd w:val="clear" w:color="auto" w:fill="auto"/>
          </w:tcPr>
          <w:p>
            <w:pPr>
              <w:spacing w:line="300" w:lineRule="exact"/>
              <w:rPr>
                <w:sz w:val="18"/>
                <w:szCs w:val="18"/>
              </w:rPr>
            </w:pPr>
            <w:r>
              <w:rPr>
                <w:rFonts w:hint="eastAsia"/>
                <w:color w:val="000000"/>
                <w:sz w:val="18"/>
                <w:szCs w:val="18"/>
              </w:rPr>
              <w:t>审核发现宣告</w:t>
            </w:r>
          </w:p>
        </w:tc>
        <w:tc>
          <w:tcPr>
            <w:tcW w:w="1069" w:type="dxa"/>
            <w:tcBorders>
              <w:right w:val="single" w:color="auto" w:sz="8" w:space="0"/>
            </w:tcBorders>
            <w:shd w:val="clear" w:color="auto" w:fill="auto"/>
          </w:tcPr>
          <w:p>
            <w:pPr>
              <w:snapToGrid w:val="0"/>
              <w:spacing w:line="320" w:lineRule="exact"/>
              <w:rPr>
                <w:rFonts w:ascii="宋体" w:hAnsi="宋体"/>
                <w:b/>
                <w:bCs/>
                <w:sz w:val="18"/>
                <w:szCs w:val="18"/>
              </w:rPr>
            </w:pPr>
            <w:r>
              <w:rPr>
                <w:rFonts w:hint="eastAsia" w:ascii="宋体" w:hAnsi="宋体"/>
                <w:b/>
                <w:bCs/>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59" w:type="dxa"/>
            <w:vMerge w:val="continue"/>
            <w:tcBorders>
              <w:left w:val="single" w:color="auto" w:sz="8" w:space="0"/>
              <w:bottom w:val="nil"/>
            </w:tcBorders>
            <w:shd w:val="clear" w:color="auto" w:fill="auto"/>
          </w:tcPr>
          <w:p>
            <w:pPr>
              <w:snapToGrid w:val="0"/>
              <w:spacing w:line="320" w:lineRule="exact"/>
              <w:rPr>
                <w:rFonts w:ascii="宋体" w:hAnsi="宋体"/>
                <w:b/>
                <w:bCs/>
                <w:sz w:val="18"/>
                <w:szCs w:val="18"/>
              </w:rPr>
            </w:pPr>
          </w:p>
        </w:tc>
        <w:tc>
          <w:tcPr>
            <w:tcW w:w="1409" w:type="dxa"/>
            <w:shd w:val="clear" w:color="auto" w:fill="auto"/>
          </w:tcPr>
          <w:p>
            <w:pPr>
              <w:snapToGrid w:val="0"/>
              <w:spacing w:line="320" w:lineRule="exact"/>
              <w:rPr>
                <w:b/>
                <w:bCs/>
                <w:sz w:val="18"/>
                <w:szCs w:val="18"/>
              </w:rPr>
            </w:pPr>
            <w:r>
              <w:rPr>
                <w:b/>
                <w:bCs/>
                <w:sz w:val="18"/>
                <w:szCs w:val="18"/>
              </w:rPr>
              <w:t>1</w:t>
            </w:r>
            <w:r>
              <w:rPr>
                <w:rFonts w:hint="eastAsia"/>
                <w:b/>
                <w:bCs/>
                <w:sz w:val="18"/>
                <w:szCs w:val="18"/>
                <w:lang w:val="en-US" w:eastAsia="zh-CN"/>
              </w:rPr>
              <w:t>7</w:t>
            </w:r>
            <w:r>
              <w:rPr>
                <w:b/>
                <w:bCs/>
                <w:sz w:val="18"/>
                <w:szCs w:val="18"/>
              </w:rPr>
              <w:t>:</w:t>
            </w:r>
            <w:r>
              <w:rPr>
                <w:rFonts w:hint="eastAsia"/>
                <w:b/>
                <w:bCs/>
                <w:sz w:val="18"/>
                <w:szCs w:val="18"/>
                <w:lang w:val="en-US" w:eastAsia="zh-CN"/>
              </w:rPr>
              <w:t>0</w:t>
            </w:r>
            <w:r>
              <w:rPr>
                <w:b/>
                <w:bCs/>
                <w:sz w:val="18"/>
                <w:szCs w:val="18"/>
              </w:rPr>
              <w:t>0</w:t>
            </w:r>
          </w:p>
        </w:tc>
        <w:tc>
          <w:tcPr>
            <w:tcW w:w="6877" w:type="dxa"/>
            <w:gridSpan w:val="3"/>
            <w:shd w:val="clear" w:color="auto" w:fill="auto"/>
          </w:tcPr>
          <w:p>
            <w:pPr>
              <w:spacing w:line="300" w:lineRule="exact"/>
              <w:rPr>
                <w:color w:val="000000"/>
                <w:sz w:val="18"/>
                <w:szCs w:val="18"/>
              </w:rPr>
            </w:pPr>
            <w:r>
              <w:rPr>
                <w:rFonts w:hint="eastAsia"/>
                <w:sz w:val="18"/>
                <w:szCs w:val="18"/>
              </w:rPr>
              <w:t>审核结束</w:t>
            </w:r>
          </w:p>
        </w:tc>
        <w:tc>
          <w:tcPr>
            <w:tcW w:w="1069" w:type="dxa"/>
            <w:tcBorders>
              <w:right w:val="single" w:color="auto" w:sz="8" w:space="0"/>
            </w:tcBorders>
            <w:shd w:val="clear" w:color="auto" w:fill="auto"/>
          </w:tcPr>
          <w:p>
            <w:pPr>
              <w:snapToGrid w:val="0"/>
              <w:spacing w:line="320" w:lineRule="exact"/>
              <w:rPr>
                <w:rFonts w:ascii="宋体" w:hAnsi="宋体"/>
                <w:b/>
                <w:bCs/>
                <w:sz w:val="18"/>
                <w:szCs w:val="18"/>
              </w:rPr>
            </w:pPr>
            <w:r>
              <w:rPr>
                <w:rFonts w:hint="eastAsia" w:ascii="宋体" w:hAnsi="宋体"/>
                <w:b/>
                <w:bCs/>
                <w:sz w:val="18"/>
                <w:szCs w:val="18"/>
              </w:rPr>
              <w:t>A</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0MzI2OWY1YWVlMjAzNzU1MjFhOTQwODU5M2RmMGQifQ=="/>
  </w:docVars>
  <w:rsids>
    <w:rsidRoot w:val="00000000"/>
    <w:rsid w:val="1403153F"/>
    <w:rsid w:val="20B05EF8"/>
    <w:rsid w:val="36581519"/>
    <w:rsid w:val="44860B8B"/>
    <w:rsid w:val="453F5652"/>
    <w:rsid w:val="5A457C4E"/>
    <w:rsid w:val="61442516"/>
    <w:rsid w:val="71472D0C"/>
    <w:rsid w:val="784B0004"/>
    <w:rsid w:val="7AFA65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2067</Words>
  <Characters>2961</Characters>
  <Lines>37</Lines>
  <Paragraphs>10</Paragraphs>
  <TotalTime>1</TotalTime>
  <ScaleCrop>false</ScaleCrop>
  <LinksUpToDate>false</LinksUpToDate>
  <CharactersWithSpaces>3021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っpoppy╮</cp:lastModifiedBy>
  <dcterms:modified xsi:type="dcterms:W3CDTF">2022-12-16T07:19:54Z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2052-11.1.0.12980</vt:lpwstr>
  </property>
</Properties>
</file>