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0678-2022-QEO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林克斯智能系统（成都）有限公司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林克斯智能系统（成都）有限公司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中国（四川）自由贸易试验区成都高新区益州大道中段1800号1栋3楼301号</w:t>
            </w:r>
            <w:bookmarkEnd w:id="6"/>
          </w:p>
        </w:tc>
        <w:tc>
          <w:tcPr>
            <w:tcW w:w="1242" w:type="dxa"/>
            <w:vMerge w:val="restart"/>
            <w:vAlign w:val="center"/>
          </w:tcPr>
          <w:p>
            <w:r>
              <w:rPr>
                <w:rFonts w:hint="eastAsia"/>
              </w:rPr>
              <w:t>邮编</w:t>
            </w:r>
          </w:p>
        </w:tc>
        <w:tc>
          <w:tcPr>
            <w:tcW w:w="1771" w:type="dxa"/>
          </w:tcPr>
          <w:p>
            <w:bookmarkStart w:id="7" w:name="注册邮编"/>
            <w:r>
              <w:t>600000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中国（四川）自由贸易试验区成都高新区益州大道中段1800号1栋3楼301号</w:t>
            </w:r>
            <w:bookmarkEnd w:id="8"/>
          </w:p>
        </w:tc>
        <w:tc>
          <w:tcPr>
            <w:tcW w:w="1242" w:type="dxa"/>
            <w:vMerge w:val="continue"/>
            <w:vAlign w:val="center"/>
          </w:tcPr>
          <w:p/>
        </w:tc>
        <w:tc>
          <w:tcPr>
            <w:tcW w:w="1771" w:type="dxa"/>
          </w:tcPr>
          <w:p>
            <w:bookmarkStart w:id="9" w:name="办公邮编"/>
            <w:r>
              <w:t>600000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r>
              <w:rPr>
                <w:rFonts w:hint="eastAsia"/>
              </w:rPr>
              <w:t>周敏</w:t>
            </w:r>
          </w:p>
        </w:tc>
        <w:tc>
          <w:tcPr>
            <w:tcW w:w="1313" w:type="dxa"/>
            <w:vAlign w:val="center"/>
          </w:tcPr>
          <w:p>
            <w:r>
              <w:rPr>
                <w:rFonts w:hint="eastAsia"/>
              </w:rPr>
              <w:t>电话.</w:t>
            </w:r>
          </w:p>
        </w:tc>
        <w:tc>
          <w:tcPr>
            <w:tcW w:w="2180" w:type="dxa"/>
            <w:vAlign w:val="center"/>
          </w:tcPr>
          <w:p>
            <w:bookmarkStart w:id="10" w:name="联系人电话"/>
            <w:r>
              <w:t>13540634978</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由铭甫</w:t>
            </w:r>
            <w:bookmarkEnd w:id="12"/>
          </w:p>
        </w:tc>
        <w:tc>
          <w:tcPr>
            <w:tcW w:w="1313" w:type="dxa"/>
            <w:vAlign w:val="center"/>
          </w:tcPr>
          <w:p>
            <w:r>
              <w:rPr>
                <w:rFonts w:hint="eastAsia"/>
              </w:rPr>
              <w:t>管理者代表</w:t>
            </w:r>
          </w:p>
        </w:tc>
        <w:tc>
          <w:tcPr>
            <w:tcW w:w="2180" w:type="dxa"/>
          </w:tcPr>
          <w:p>
            <w:bookmarkStart w:id="13" w:name="管理者代表"/>
            <w:r>
              <w:t>周敏</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ascii="宋体" w:hAnsi="宋体" w:eastAsia="宋体" w:cs="宋体"/>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rPr>
                <w:rFonts w:hint="eastAsia" w:ascii="宋体" w:hAnsi="宋体" w:cs="宋体"/>
                <w:sz w:val="21"/>
                <w:szCs w:val="21"/>
              </w:rPr>
            </w:pPr>
            <w:r>
              <w:rPr>
                <w:rFonts w:hint="eastAsia" w:ascii="宋体" w:hAnsi="宋体" w:cs="宋体"/>
                <w:sz w:val="21"/>
                <w:szCs w:val="21"/>
              </w:rPr>
              <w:t>研发流程：业务洽谈—合同签订—系统方案设计—交付验收</w:t>
            </w:r>
          </w:p>
          <w:p>
            <w:r>
              <w:rPr>
                <w:rFonts w:hint="eastAsia" w:ascii="宋体" w:hAnsi="宋体" w:cs="宋体"/>
                <w:sz w:val="21"/>
                <w:szCs w:val="21"/>
              </w:rPr>
              <w:t>销售流程：签订合同→采购产品→销售产品→交付客户--售后服务</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2022年10月19日 上午至2022年10月19日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rPr>
              <w:t>■</w:t>
            </w:r>
            <w:r>
              <w:rPr>
                <w:rFonts w:hint="eastAsia"/>
              </w:rPr>
              <w:t>顾客要求</w:t>
            </w:r>
          </w:p>
          <w:p>
            <w:r>
              <w:rPr>
                <w:rFonts w:hint="eastAsia" w:ascii="宋体" w:hAnsi="宋体" w:eastAsia="宋体" w:cs="宋体"/>
                <w:lang w:val="de-DE"/>
              </w:rPr>
              <w:t>■</w:t>
            </w:r>
            <w:r>
              <w:rPr>
                <w:rFonts w:hint="eastAsia"/>
                <w:lang w:val="de-DE"/>
              </w:rPr>
              <w:t>适用于受审核方的法律法规及其他要求</w:t>
            </w:r>
            <w:r>
              <w:rPr>
                <w:rFonts w:hint="eastAsia" w:ascii="宋体" w:hAnsi="宋体" w:eastAsia="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ascii="宋体" w:hAnsi="宋体" w:eastAsia="宋体" w:cs="宋体"/>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eastAsia="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中国（四川）自由贸易试验区成都高新区益州大道中段1800号1栋3楼301号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音频</w:t>
            </w:r>
            <w:r>
              <w:rPr>
                <w:rFonts w:hint="eastAsia" w:ascii="宋体" w:hAnsi="宋体" w:eastAsia="宋体" w:cs="宋体"/>
                <w:b/>
                <w:color w:val="0000FF"/>
                <w:szCs w:val="21"/>
              </w:rPr>
              <w:t>■</w:t>
            </w:r>
            <w:r>
              <w:rPr>
                <w:rFonts w:hint="eastAsia" w:ascii="宋体"/>
                <w:b/>
                <w:color w:val="0000FF"/>
                <w:szCs w:val="21"/>
              </w:rPr>
              <w:t>视频</w:t>
            </w:r>
            <w:r>
              <w:rPr>
                <w:rFonts w:hint="eastAsia" w:ascii="宋体" w:hAnsi="宋体" w:eastAsia="宋体" w:cs="宋体"/>
                <w:b/>
                <w:color w:val="0000FF"/>
                <w:szCs w:val="21"/>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w:t>
            </w:r>
            <w:r>
              <w:rPr>
                <w:rFonts w:hint="eastAsia" w:ascii="宋体" w:hAnsi="宋体" w:eastAsia="宋体" w:cs="宋体"/>
                <w:b/>
                <w:color w:val="0000FF"/>
                <w:szCs w:val="21"/>
              </w:rPr>
              <w:t>■</w:t>
            </w:r>
            <w:r>
              <w:rPr>
                <w:rFonts w:hint="eastAsia" w:ascii="宋体"/>
                <w:b/>
                <w:color w:val="0000FF"/>
                <w:szCs w:val="21"/>
              </w:rPr>
              <w:t>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网络</w:t>
            </w:r>
            <w:r>
              <w:rPr>
                <w:rFonts w:hint="eastAsia" w:ascii="宋体" w:hAnsi="宋体" w:eastAsia="宋体" w:cs="宋体"/>
                <w:b/>
                <w:color w:val="0000FF"/>
                <w:szCs w:val="21"/>
              </w:rPr>
              <w:t>■</w:t>
            </w:r>
            <w:r>
              <w:rPr>
                <w:rFonts w:hint="eastAsia" w:ascii="宋体"/>
                <w:b/>
                <w:color w:val="0000FF"/>
                <w:szCs w:val="21"/>
              </w:rPr>
              <w:t>智能手机□手持设备</w:t>
            </w:r>
            <w:r>
              <w:rPr>
                <w:rFonts w:hint="eastAsia" w:ascii="宋体" w:hAnsi="宋体" w:eastAsia="宋体" w:cs="宋体"/>
                <w:b/>
                <w:color w:val="0000FF"/>
                <w:szCs w:val="21"/>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Q：开关柜防凝露系统研发、销售</w:t>
            </w:r>
          </w:p>
          <w:p>
            <w:r>
              <w:t>E：开关柜防凝露系统研发、销售所涉及场所的相关环境管理活动</w:t>
            </w:r>
          </w:p>
          <w:p>
            <w:r>
              <w:t>O：开关柜防凝露系统研发、销售所涉及场所的相关职业健康安全管理活动</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Q：29.09.01;33.02.01</w:t>
            </w:r>
          </w:p>
          <w:p>
            <w:r>
              <w:t>E：29.09.01;33.02.01</w:t>
            </w:r>
          </w:p>
          <w:p>
            <w:r>
              <w:t>O：29.09.01;33.02.01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lang w:val="en-US" w:eastAsia="zh-CN"/>
              </w:rPr>
              <w:t>2020</w:t>
            </w:r>
            <w:r>
              <w:rPr>
                <w:rFonts w:hint="eastAsia"/>
              </w:rPr>
              <w:t>年</w:t>
            </w:r>
            <w:r>
              <w:rPr>
                <w:rFonts w:hint="eastAsia"/>
                <w:lang w:val="en-US" w:eastAsia="zh-CN"/>
              </w:rPr>
              <w:t>8</w:t>
            </w:r>
            <w:r>
              <w:rPr>
                <w:rFonts w:hint="eastAsia"/>
              </w:rPr>
              <w:t>月</w:t>
            </w:r>
            <w:r>
              <w:rPr>
                <w:rFonts w:hint="eastAsia"/>
                <w:lang w:val="en-US" w:eastAsia="zh-CN"/>
              </w:rPr>
              <w:t>1</w:t>
            </w:r>
            <w:r>
              <w:rPr>
                <w:rFonts w:hint="eastAsia"/>
              </w:rPr>
              <w:t>日</w:t>
            </w:r>
          </w:p>
          <w:p>
            <w:pPr>
              <w:rPr>
                <w:rFonts w:ascii="Times New Roman" w:hAnsi="Times New Roman" w:eastAsia="宋体" w:cs="Times New Roman"/>
                <w:kern w:val="2"/>
                <w:sz w:val="21"/>
                <w:szCs w:val="24"/>
                <w:lang w:val="en-US" w:eastAsia="zh-CN" w:bidi="ar-SA"/>
              </w:rPr>
            </w:pPr>
          </w:p>
        </w:tc>
        <w:tc>
          <w:tcPr>
            <w:tcW w:w="1883" w:type="dxa"/>
            <w:vAlign w:val="center"/>
          </w:tcPr>
          <w:p>
            <w:pPr>
              <w:rPr>
                <w:rFonts w:ascii="Times New Roman" w:hAnsi="Times New Roman" w:eastAsia="宋体" w:cs="Times New Roman"/>
                <w:kern w:val="2"/>
                <w:sz w:val="21"/>
                <w:szCs w:val="24"/>
                <w:lang w:val="en-US" w:eastAsia="zh-CN" w:bidi="ar-SA"/>
              </w:rPr>
            </w:pPr>
            <w:r>
              <w:rPr>
                <w:rFonts w:hint="eastAsia"/>
              </w:rPr>
              <w:t>管理体系运行已超过3个月</w:t>
            </w:r>
          </w:p>
        </w:tc>
        <w:tc>
          <w:tcPr>
            <w:tcW w:w="3215" w:type="dxa"/>
            <w:vAlign w:val="center"/>
          </w:tcPr>
          <w:p>
            <w:pPr>
              <w:rPr>
                <w:rFonts w:ascii="Times New Roman" w:hAnsi="Times New Roman" w:eastAsia="宋体" w:cs="Times New Roman"/>
                <w:kern w:val="2"/>
                <w:sz w:val="21"/>
                <w:szCs w:val="24"/>
                <w:lang w:val="en-US" w:eastAsia="zh-CN" w:bidi="ar-SA"/>
              </w:rPr>
            </w:pPr>
            <w:r>
              <w:rPr>
                <w:rFonts w:hint="eastAsia" w:ascii="宋体" w:hAnsi="宋体" w:eastAsia="宋体" w:cs="宋体"/>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ascii="Times New Roman" w:hAnsi="Times New Roman" w:eastAsia="宋体" w:cs="Times New Roman"/>
                <w:kern w:val="2"/>
                <w:sz w:val="21"/>
                <w:szCs w:val="24"/>
                <w:lang w:val="en-US" w:eastAsia="zh-CN" w:bidi="ar-SA"/>
              </w:rPr>
            </w:pPr>
            <w:r>
              <w:rPr>
                <w:rFonts w:hint="eastAsia"/>
              </w:rPr>
              <w:t>202</w:t>
            </w:r>
            <w:r>
              <w:rPr>
                <w:rFonts w:hint="eastAsia"/>
                <w:lang w:eastAsia="zh-CN"/>
              </w:rPr>
              <w:t>1</w:t>
            </w:r>
            <w:r>
              <w:rPr>
                <w:rFonts w:hint="eastAsia"/>
              </w:rPr>
              <w:t>年1</w:t>
            </w:r>
            <w:r>
              <w:rPr>
                <w:rFonts w:hint="eastAsia"/>
                <w:lang w:eastAsia="zh-CN"/>
              </w:rPr>
              <w:t>2</w:t>
            </w:r>
            <w:r>
              <w:rPr>
                <w:rFonts w:hint="eastAsia"/>
              </w:rPr>
              <w:t>月</w:t>
            </w:r>
            <w:r>
              <w:rPr>
                <w:rFonts w:hint="eastAsia"/>
                <w:lang w:eastAsia="zh-CN"/>
              </w:rPr>
              <w:t>27</w:t>
            </w:r>
            <w:r>
              <w:rPr>
                <w:rFonts w:hint="eastAsia"/>
              </w:rPr>
              <w:t>日</w:t>
            </w:r>
          </w:p>
        </w:tc>
        <w:tc>
          <w:tcPr>
            <w:tcW w:w="1883" w:type="dxa"/>
            <w:vAlign w:val="center"/>
          </w:tcPr>
          <w:p>
            <w:r>
              <w:rPr>
                <w:rFonts w:hint="eastAsia"/>
              </w:rPr>
              <w:t>认证证书有效期</w:t>
            </w:r>
          </w:p>
          <w:p>
            <w:pPr>
              <w:rPr>
                <w:rFonts w:ascii="Times New Roman" w:hAnsi="Times New Roman" w:eastAsia="宋体" w:cs="Times New Roman"/>
                <w:kern w:val="2"/>
                <w:sz w:val="21"/>
                <w:szCs w:val="24"/>
                <w:lang w:val="en-US" w:eastAsia="zh-CN" w:bidi="ar-SA"/>
              </w:rPr>
            </w:pPr>
            <w:r>
              <w:rPr>
                <w:rFonts w:hint="eastAsia"/>
              </w:rPr>
              <w:t>（初审除外）</w:t>
            </w:r>
          </w:p>
        </w:tc>
        <w:tc>
          <w:tcPr>
            <w:tcW w:w="3215" w:type="dxa"/>
            <w:vAlign w:val="center"/>
          </w:tcPr>
          <w:p>
            <w:pPr>
              <w:rPr>
                <w:rFonts w:ascii="Times New Roman" w:hAnsi="Times New Roman" w:eastAsia="宋体" w:cs="Times New Roman"/>
                <w:kern w:val="2"/>
                <w:sz w:val="21"/>
                <w:szCs w:val="24"/>
                <w:lang w:val="en-US" w:eastAsia="zh-CN" w:bidi="ar-SA"/>
              </w:rPr>
            </w:pPr>
            <w:r>
              <w:rPr>
                <w:rFonts w:hint="eastAsia"/>
              </w:rPr>
              <w:t>有效至</w:t>
            </w:r>
            <w:r>
              <w:rPr>
                <w:rFonts w:hint="eastAsia"/>
                <w:lang w:val="en-US" w:eastAsia="zh-CN"/>
              </w:rPr>
              <w:t>2022</w:t>
            </w:r>
            <w:r>
              <w:rPr>
                <w:rFonts w:hint="eastAsia"/>
              </w:rPr>
              <w:t>年</w:t>
            </w:r>
            <w:r>
              <w:rPr>
                <w:rFonts w:hint="eastAsia"/>
                <w:lang w:val="en-US" w:eastAsia="zh-CN"/>
              </w:rPr>
              <w:t>12</w:t>
            </w:r>
            <w:r>
              <w:rPr>
                <w:rFonts w:hint="eastAsia"/>
              </w:rPr>
              <w:t>月</w:t>
            </w:r>
            <w:r>
              <w:rPr>
                <w:rFonts w:hint="eastAsia"/>
                <w:lang w:val="en-US" w:eastAsia="zh-CN"/>
              </w:rPr>
              <w:t>4</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482"/>
        <w:gridCol w:w="2052"/>
        <w:gridCol w:w="792"/>
        <w:gridCol w:w="1556"/>
        <w:gridCol w:w="169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482" w:type="dxa"/>
            <w:shd w:val="clear" w:color="auto" w:fill="F3F3F3"/>
            <w:tcMar>
              <w:left w:w="57" w:type="dxa"/>
              <w:right w:w="57" w:type="dxa"/>
            </w:tcMar>
          </w:tcPr>
          <w:p>
            <w:r>
              <w:rPr>
                <w:rFonts w:hint="eastAsia"/>
              </w:rPr>
              <w:t>组织名称及注册场所地址</w:t>
            </w:r>
          </w:p>
        </w:tc>
        <w:tc>
          <w:tcPr>
            <w:tcW w:w="2052" w:type="dxa"/>
            <w:shd w:val="clear" w:color="auto" w:fill="F3F3F3"/>
            <w:tcMar>
              <w:left w:w="57" w:type="dxa"/>
              <w:right w:w="57" w:type="dxa"/>
            </w:tcMar>
          </w:tcPr>
          <w:p>
            <w:r>
              <w:rPr>
                <w:rFonts w:hint="eastAsia"/>
              </w:rPr>
              <w:t>经营场所的地址</w:t>
            </w:r>
          </w:p>
          <w:p>
            <w:r>
              <w:rPr>
                <w:rFonts w:hint="eastAsia"/>
              </w:rPr>
              <w:t>（多现场和临时现场）</w:t>
            </w:r>
          </w:p>
        </w:tc>
        <w:tc>
          <w:tcPr>
            <w:tcW w:w="792" w:type="dxa"/>
            <w:shd w:val="clear" w:color="auto" w:fill="F3F3F3"/>
            <w:tcMar>
              <w:left w:w="57" w:type="dxa"/>
              <w:right w:w="57" w:type="dxa"/>
            </w:tcMar>
          </w:tcPr>
          <w:p>
            <w:r>
              <w:rPr>
                <w:rFonts w:hint="eastAsia"/>
              </w:rPr>
              <w:t>员工人数</w:t>
            </w:r>
          </w:p>
        </w:tc>
        <w:tc>
          <w:tcPr>
            <w:tcW w:w="1556" w:type="dxa"/>
            <w:shd w:val="clear" w:color="auto" w:fill="F3F3F3"/>
            <w:tcMar>
              <w:left w:w="57" w:type="dxa"/>
              <w:right w:w="57" w:type="dxa"/>
            </w:tcMar>
          </w:tcPr>
          <w:p>
            <w:r>
              <w:rPr>
                <w:rFonts w:hint="eastAsia"/>
              </w:rPr>
              <w:t>审核范围（产品和过程）</w:t>
            </w:r>
          </w:p>
          <w:p/>
          <w:p/>
        </w:tc>
        <w:tc>
          <w:tcPr>
            <w:tcW w:w="1695"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482" w:type="dxa"/>
            <w:vAlign w:val="top"/>
          </w:tcPr>
          <w:p>
            <w:pPr>
              <w:rPr>
                <w:rFonts w:hint="eastAsia" w:ascii="Times New Roman" w:hAnsi="Times New Roman" w:eastAsia="宋体" w:cs="Times New Roman"/>
                <w:kern w:val="2"/>
                <w:sz w:val="21"/>
                <w:szCs w:val="21"/>
                <w:lang w:val="de-DE" w:eastAsia="ja-JP" w:bidi="ar-SA"/>
              </w:rPr>
            </w:pPr>
            <w:r>
              <w:rPr>
                <w:sz w:val="21"/>
                <w:szCs w:val="21"/>
              </w:rPr>
              <w:t>林克斯智能系统（成都）有限公司</w:t>
            </w:r>
            <w:r>
              <w:rPr>
                <w:rFonts w:hint="eastAsia"/>
                <w:sz w:val="21"/>
                <w:szCs w:val="21"/>
                <w:lang w:val="en-US" w:eastAsia="zh-CN"/>
              </w:rPr>
              <w:t>/</w:t>
            </w:r>
            <w:r>
              <w:rPr>
                <w:rFonts w:asciiTheme="minorEastAsia" w:hAnsiTheme="minorEastAsia" w:eastAsiaTheme="minorEastAsia"/>
                <w:sz w:val="21"/>
                <w:szCs w:val="21"/>
              </w:rPr>
              <w:t>中国（四川）自由贸易试验区成都高新区益州大道中段1800号1栋3楼301号</w:t>
            </w:r>
          </w:p>
        </w:tc>
        <w:tc>
          <w:tcPr>
            <w:tcW w:w="2052" w:type="dxa"/>
            <w:vAlign w:val="top"/>
          </w:tcPr>
          <w:p>
            <w:pPr>
              <w:rPr>
                <w:rFonts w:ascii="Times New Roman" w:hAnsi="Times New Roman" w:eastAsia="宋体" w:cs="Times New Roman"/>
                <w:kern w:val="2"/>
                <w:sz w:val="21"/>
                <w:szCs w:val="21"/>
                <w:lang w:val="de-DE" w:eastAsia="ja-JP" w:bidi="ar-SA"/>
              </w:rPr>
            </w:pPr>
            <w:r>
              <w:rPr>
                <w:rFonts w:asciiTheme="minorEastAsia" w:hAnsiTheme="minorEastAsia" w:eastAsiaTheme="minorEastAsia"/>
                <w:sz w:val="21"/>
                <w:szCs w:val="21"/>
              </w:rPr>
              <w:t>中国（四川）自由贸易试验区成都高新区益州大道中段1800号1栋3楼301号</w:t>
            </w:r>
          </w:p>
        </w:tc>
        <w:tc>
          <w:tcPr>
            <w:tcW w:w="792" w:type="dxa"/>
            <w:vAlign w:val="center"/>
          </w:tcPr>
          <w:p>
            <w:pPr>
              <w:rPr>
                <w:rFonts w:hint="default" w:ascii="Times New Roman" w:hAnsi="Times New Roman" w:eastAsia="宋体" w:cs="Times New Roman"/>
                <w:kern w:val="2"/>
                <w:sz w:val="21"/>
                <w:szCs w:val="21"/>
                <w:lang w:val="en-US" w:eastAsia="ja-JP" w:bidi="ar-SA"/>
              </w:rPr>
            </w:pPr>
            <w:r>
              <w:rPr>
                <w:rFonts w:hint="eastAsia"/>
                <w:sz w:val="21"/>
                <w:szCs w:val="21"/>
                <w:lang w:val="en-US" w:eastAsia="zh-CN"/>
              </w:rPr>
              <w:t>总人数20人</w:t>
            </w:r>
          </w:p>
        </w:tc>
        <w:tc>
          <w:tcPr>
            <w:tcW w:w="1556" w:type="dxa"/>
            <w:vAlign w:val="center"/>
          </w:tcPr>
          <w:p>
            <w:pPr>
              <w:rPr>
                <w:rFonts w:ascii="Times New Roman" w:hAnsi="Times New Roman" w:eastAsia="宋体" w:cs="Times New Roman"/>
                <w:kern w:val="2"/>
                <w:sz w:val="21"/>
                <w:szCs w:val="21"/>
                <w:lang w:val="en-US" w:eastAsia="ja-JP" w:bidi="ar-SA"/>
              </w:rPr>
            </w:pPr>
            <w:r>
              <w:rPr>
                <w:sz w:val="21"/>
                <w:szCs w:val="21"/>
              </w:rPr>
              <w:t>开关柜防凝露系统研发、销售</w:t>
            </w:r>
          </w:p>
        </w:tc>
        <w:tc>
          <w:tcPr>
            <w:tcW w:w="1695" w:type="dxa"/>
            <w:vAlign w:val="top"/>
          </w:tcPr>
          <w:p>
            <w:pPr>
              <w:spacing w:before="40" w:after="40"/>
              <w:rPr>
                <w:rFonts w:hint="eastAsia" w:ascii="宋体" w:hAnsi="宋体"/>
                <w:b w:val="0"/>
                <w:bCs/>
                <w:szCs w:val="21"/>
              </w:rPr>
            </w:pPr>
            <w:r>
              <w:rPr>
                <w:rFonts w:hint="eastAsia" w:ascii="宋体" w:hAnsi="宋体"/>
                <w:b w:val="0"/>
                <w:bCs/>
                <w:szCs w:val="21"/>
              </w:rPr>
              <w:t>GB/T19001-2016</w:t>
            </w:r>
          </w:p>
          <w:p>
            <w:pPr>
              <w:spacing w:before="40" w:after="40"/>
              <w:rPr>
                <w:rFonts w:hint="eastAsia" w:ascii="宋体" w:hAnsi="宋体"/>
                <w:b w:val="0"/>
                <w:bCs/>
                <w:szCs w:val="21"/>
              </w:rPr>
            </w:pPr>
            <w:r>
              <w:rPr>
                <w:rFonts w:hint="eastAsia" w:ascii="宋体" w:hAnsi="宋体"/>
                <w:b w:val="0"/>
                <w:bCs/>
                <w:szCs w:val="21"/>
              </w:rPr>
              <w:t>GB/T24001-2016</w:t>
            </w:r>
          </w:p>
          <w:p>
            <w:pPr>
              <w:spacing w:before="40" w:after="40"/>
              <w:rPr>
                <w:rFonts w:ascii="Times New Roman" w:hAnsi="Times New Roman" w:eastAsia="宋体" w:cs="Times New Roman"/>
                <w:kern w:val="2"/>
                <w:sz w:val="21"/>
                <w:szCs w:val="24"/>
                <w:lang w:val="en-US" w:eastAsia="ja-JP" w:bidi="ar-SA"/>
              </w:rPr>
            </w:pPr>
            <w:r>
              <w:rPr>
                <w:rFonts w:hint="eastAsia" w:ascii="宋体" w:hAnsi="宋体"/>
                <w:b w:val="0"/>
                <w:bCs/>
                <w:szCs w:val="21"/>
              </w:rPr>
              <w:t>GB/T45001-2020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482" w:type="dxa"/>
            <w:vAlign w:val="top"/>
          </w:tcPr>
          <w:p>
            <w:pPr>
              <w:rPr>
                <w:rFonts w:hint="eastAsia" w:ascii="Times New Roman" w:hAnsi="Times New Roman" w:eastAsia="宋体" w:cs="Times New Roman"/>
                <w:kern w:val="2"/>
                <w:sz w:val="21"/>
                <w:szCs w:val="21"/>
                <w:lang w:val="en-US" w:eastAsia="ja-JP" w:bidi="ar-SA"/>
              </w:rPr>
            </w:pPr>
          </w:p>
        </w:tc>
        <w:tc>
          <w:tcPr>
            <w:tcW w:w="2052" w:type="dxa"/>
            <w:vAlign w:val="top"/>
          </w:tcPr>
          <w:p>
            <w:pPr>
              <w:rPr>
                <w:rFonts w:ascii="Times New Roman" w:hAnsi="Times New Roman" w:eastAsia="宋体" w:cs="Times New Roman"/>
                <w:kern w:val="2"/>
                <w:sz w:val="21"/>
                <w:szCs w:val="21"/>
                <w:lang w:val="de-DE" w:eastAsia="ja-JP" w:bidi="ar-SA"/>
              </w:rPr>
            </w:pPr>
          </w:p>
        </w:tc>
        <w:tc>
          <w:tcPr>
            <w:tcW w:w="792" w:type="dxa"/>
            <w:vAlign w:val="center"/>
          </w:tcPr>
          <w:p>
            <w:pPr>
              <w:rPr>
                <w:rFonts w:hint="default" w:ascii="Times New Roman" w:hAnsi="Times New Roman" w:eastAsia="宋体" w:cs="Times New Roman"/>
                <w:kern w:val="2"/>
                <w:sz w:val="21"/>
                <w:szCs w:val="21"/>
                <w:lang w:val="en-US" w:eastAsia="ja-JP" w:bidi="ar-SA"/>
              </w:rPr>
            </w:pPr>
          </w:p>
        </w:tc>
        <w:tc>
          <w:tcPr>
            <w:tcW w:w="1556" w:type="dxa"/>
            <w:vAlign w:val="center"/>
          </w:tcPr>
          <w:p>
            <w:pPr>
              <w:rPr>
                <w:rFonts w:ascii="Times New Roman" w:hAnsi="Times New Roman" w:eastAsia="宋体" w:cs="Times New Roman"/>
                <w:kern w:val="2"/>
                <w:sz w:val="21"/>
                <w:szCs w:val="21"/>
                <w:lang w:val="en-US" w:eastAsia="ja-JP" w:bidi="ar-SA"/>
              </w:rPr>
            </w:pPr>
          </w:p>
        </w:tc>
        <w:tc>
          <w:tcPr>
            <w:tcW w:w="1695" w:type="dxa"/>
            <w:vAlign w:val="center"/>
          </w:tcPr>
          <w:p>
            <w:pPr>
              <w:rPr>
                <w:rFonts w:ascii="Times New Roman" w:hAnsi="Times New Roman" w:eastAsia="宋体" w:cs="Times New Roman"/>
                <w:kern w:val="2"/>
                <w:sz w:val="21"/>
                <w:szCs w:val="21"/>
                <w:lang w:val="en-US" w:eastAsia="ja-JP" w:bidi="ar-SA"/>
              </w:rPr>
            </w:pP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482" w:type="dxa"/>
            <w:vAlign w:val="top"/>
          </w:tcPr>
          <w:p>
            <w:pPr>
              <w:rPr>
                <w:rFonts w:hint="eastAsia" w:ascii="Times New Roman" w:hAnsi="Times New Roman" w:eastAsia="宋体" w:cs="Times New Roman"/>
                <w:kern w:val="2"/>
                <w:sz w:val="21"/>
                <w:szCs w:val="21"/>
                <w:lang w:val="en-US" w:eastAsia="ja-JP" w:bidi="ar-SA"/>
              </w:rPr>
            </w:pPr>
          </w:p>
        </w:tc>
        <w:tc>
          <w:tcPr>
            <w:tcW w:w="2052" w:type="dxa"/>
            <w:vAlign w:val="top"/>
          </w:tcPr>
          <w:p>
            <w:pPr>
              <w:rPr>
                <w:rFonts w:ascii="Times New Roman" w:hAnsi="Times New Roman" w:eastAsia="宋体" w:cs="Times New Roman"/>
                <w:kern w:val="2"/>
                <w:sz w:val="21"/>
                <w:szCs w:val="21"/>
                <w:lang w:val="de-DE" w:eastAsia="ja-JP" w:bidi="ar-SA"/>
              </w:rPr>
            </w:pPr>
          </w:p>
        </w:tc>
        <w:tc>
          <w:tcPr>
            <w:tcW w:w="792" w:type="dxa"/>
            <w:vAlign w:val="center"/>
          </w:tcPr>
          <w:p>
            <w:pPr>
              <w:rPr>
                <w:rFonts w:hint="default" w:ascii="Times New Roman" w:hAnsi="Times New Roman" w:eastAsia="宋体" w:cs="Times New Roman"/>
                <w:kern w:val="2"/>
                <w:sz w:val="21"/>
                <w:szCs w:val="21"/>
                <w:lang w:val="en-US" w:eastAsia="ja-JP" w:bidi="ar-SA"/>
              </w:rPr>
            </w:pPr>
          </w:p>
        </w:tc>
        <w:tc>
          <w:tcPr>
            <w:tcW w:w="1556" w:type="dxa"/>
            <w:vAlign w:val="center"/>
          </w:tcPr>
          <w:p>
            <w:pPr>
              <w:rPr>
                <w:rFonts w:ascii="Times New Roman" w:hAnsi="Times New Roman" w:eastAsia="宋体" w:cs="Times New Roman"/>
                <w:kern w:val="2"/>
                <w:sz w:val="21"/>
                <w:szCs w:val="21"/>
                <w:lang w:val="en-US" w:eastAsia="ja-JP" w:bidi="ar-SA"/>
              </w:rPr>
            </w:pPr>
          </w:p>
        </w:tc>
        <w:tc>
          <w:tcPr>
            <w:tcW w:w="1695" w:type="dxa"/>
            <w:vAlign w:val="center"/>
          </w:tcPr>
          <w:p>
            <w:pPr>
              <w:rPr>
                <w:rFonts w:hint="default" w:ascii="Times New Roman" w:hAnsi="Times New Roman" w:eastAsia="宋体" w:cs="Times New Roman"/>
                <w:kern w:val="2"/>
                <w:sz w:val="21"/>
                <w:szCs w:val="21"/>
                <w:lang w:val="en-US" w:eastAsia="ja-JP" w:bidi="ar-SA"/>
              </w:rPr>
            </w:pP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482" w:type="dxa"/>
            <w:vAlign w:val="center"/>
          </w:tcPr>
          <w:p>
            <w:pPr>
              <w:rPr>
                <w:lang w:eastAsia="ja-JP"/>
              </w:rPr>
            </w:pPr>
          </w:p>
        </w:tc>
        <w:tc>
          <w:tcPr>
            <w:tcW w:w="2052" w:type="dxa"/>
            <w:vAlign w:val="center"/>
          </w:tcPr>
          <w:p>
            <w:pPr>
              <w:rPr>
                <w:lang w:eastAsia="ja-JP"/>
              </w:rPr>
            </w:pPr>
          </w:p>
        </w:tc>
        <w:tc>
          <w:tcPr>
            <w:tcW w:w="792" w:type="dxa"/>
            <w:vAlign w:val="center"/>
          </w:tcPr>
          <w:p>
            <w:pPr>
              <w:rPr>
                <w:lang w:eastAsia="ja-JP"/>
              </w:rPr>
            </w:pPr>
          </w:p>
        </w:tc>
        <w:tc>
          <w:tcPr>
            <w:tcW w:w="1556" w:type="dxa"/>
            <w:vAlign w:val="center"/>
          </w:tcPr>
          <w:p>
            <w:pPr>
              <w:rPr>
                <w:lang w:eastAsia="ja-JP"/>
              </w:rPr>
            </w:pPr>
          </w:p>
        </w:tc>
        <w:tc>
          <w:tcPr>
            <w:tcW w:w="1695"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482" w:type="dxa"/>
            <w:vAlign w:val="center"/>
          </w:tcPr>
          <w:p>
            <w:pPr>
              <w:rPr>
                <w:lang w:eastAsia="ja-JP"/>
              </w:rPr>
            </w:pPr>
          </w:p>
        </w:tc>
        <w:tc>
          <w:tcPr>
            <w:tcW w:w="2052" w:type="dxa"/>
            <w:vAlign w:val="center"/>
          </w:tcPr>
          <w:p>
            <w:pPr>
              <w:rPr>
                <w:lang w:eastAsia="ja-JP"/>
              </w:rPr>
            </w:pPr>
          </w:p>
        </w:tc>
        <w:tc>
          <w:tcPr>
            <w:tcW w:w="792" w:type="dxa"/>
            <w:vAlign w:val="center"/>
          </w:tcPr>
          <w:p>
            <w:pPr>
              <w:rPr>
                <w:lang w:eastAsia="ja-JP"/>
              </w:rPr>
            </w:pPr>
          </w:p>
        </w:tc>
        <w:tc>
          <w:tcPr>
            <w:tcW w:w="1556" w:type="dxa"/>
            <w:vAlign w:val="center"/>
          </w:tcPr>
          <w:p>
            <w:pPr>
              <w:rPr>
                <w:lang w:eastAsia="ja-JP"/>
              </w:rPr>
            </w:pPr>
          </w:p>
        </w:tc>
        <w:tc>
          <w:tcPr>
            <w:tcW w:w="1695"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组长</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r>
              <w:t>Q:29.09.01,33.02.01</w:t>
            </w:r>
          </w:p>
          <w:p>
            <w:r>
              <w:t>E:29.09.01,33.02.01</w:t>
            </w:r>
          </w:p>
          <w:p>
            <w:r>
              <w:t>O:29.09.01,33.02.01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组员</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Q:29.09.01,33.02.01</w:t>
            </w:r>
          </w:p>
          <w:p>
            <w:r>
              <w:t>E:29.09.01,33.02.01</w:t>
            </w:r>
          </w:p>
          <w:p>
            <w:r>
              <w:t>O:29.09.01,33.02.01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组员</w:t>
            </w:r>
          </w:p>
        </w:tc>
        <w:tc>
          <w:tcPr>
            <w:tcW w:w="711" w:type="dxa"/>
            <w:vAlign w:val="center"/>
          </w:tcPr>
          <w:p>
            <w:r>
              <w:t>男</w:t>
            </w:r>
          </w:p>
        </w:tc>
        <w:tc>
          <w:tcPr>
            <w:tcW w:w="3870" w:type="dxa"/>
            <w:vAlign w:val="center"/>
          </w:tcPr>
          <w:p>
            <w:r>
              <w:t>2022-N1QMS-4093566</w:t>
            </w:r>
          </w:p>
          <w:p>
            <w:r>
              <w:t>2021-N1EMS-3093566</w:t>
            </w:r>
          </w:p>
          <w:p>
            <w:r>
              <w:t>2022-N1OHSMS-3093566</w:t>
            </w:r>
          </w:p>
        </w:tc>
        <w:tc>
          <w:tcPr>
            <w:tcW w:w="2179" w:type="dxa"/>
            <w:vAlign w:val="center"/>
          </w:tcPr>
          <w:p>
            <w:r>
              <w:t>Q:29.09.01,33.02.01</w:t>
            </w:r>
          </w:p>
          <w:p>
            <w:r>
              <w:t>E:29.09.01,33.02.01</w:t>
            </w:r>
          </w:p>
          <w:p>
            <w:r>
              <w:t>O:29.09.01,33.02.01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rPr>
              <w:t>上次不符</w:t>
            </w:r>
            <w:r>
              <w:rPr>
                <w:rFonts w:hint="eastAsia" w:ascii="Times New Roman" w:hAnsi="Times New Roman" w:eastAsia="宋体" w:cs="Times New Roman"/>
              </w:rPr>
              <w:t>合</w:t>
            </w:r>
            <w:r>
              <w:rPr>
                <w:rFonts w:hint="eastAsia" w:ascii="Times New Roman" w:hAnsi="Times New Roman" w:eastAsia="宋体" w:cs="Times New Roman"/>
                <w:lang w:val="en-US" w:eastAsia="zh-CN"/>
              </w:rPr>
              <w:t>为</w:t>
            </w:r>
            <w:r>
              <w:rPr>
                <w:rFonts w:hint="eastAsia" w:ascii="Times New Roman" w:hAnsi="Times New Roman" w:cs="Times New Roman"/>
                <w:lang w:val="en-US" w:eastAsia="zh-CN"/>
              </w:rPr>
              <w:t>研发部Q7.1.5，经本次</w:t>
            </w:r>
            <w:r>
              <w:rPr>
                <w:rFonts w:hint="eastAsia" w:ascii="Times New Roman" w:hAnsi="Times New Roman" w:eastAsia="宋体" w:cs="Times New Roman"/>
                <w:lang w:val="en-US" w:eastAsia="zh-CN"/>
              </w:rPr>
              <w:t>现场验证无类似情况发生。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rFonts w:ascii="Times New Roman" w:hAnsi="Times New Roman" w:eastAsia="宋体" w:cs="Times New Roman"/>
                <w:kern w:val="2"/>
                <w:sz w:val="21"/>
                <w:szCs w:val="24"/>
                <w:lang w:val="en-GB" w:eastAsia="zh-CN" w:bidi="ar-SA"/>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GB" w:eastAsia="zh-CN" w:bidi="ar-SA"/>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r>
              <w:rPr>
                <w:sz w:val="20"/>
              </w:rPr>
              <w:t>开关柜防凝露系统研发、销售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r>
              <w:rPr>
                <w:sz w:val="20"/>
              </w:rPr>
              <w:t>开关柜防凝露系统研发、销售及其所涉及的相关环境管理活动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r>
              <w:rPr>
                <w:sz w:val="20"/>
              </w:rPr>
              <w:t>开关柜防凝露系统研发、销售及其所涉及的相关职业健康安全管理活动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在完成纠正措施后推荐保持认证注册(□监督审核</w:t>
            </w:r>
            <w:r>
              <w:rPr>
                <w:rFonts w:hint="eastAsia" w:ascii="宋体" w:hAnsi="宋体" w:eastAsia="宋体" w:cs="宋体"/>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eastAsia="宋体" w:cs="宋体"/>
                <w:b/>
                <w:color w:val="0000FF"/>
                <w:spacing w:val="-10"/>
                <w:szCs w:val="21"/>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default"/>
              </w:rPr>
              <w:drawing>
                <wp:inline distT="0" distB="0" distL="114300" distR="114300">
                  <wp:extent cx="696595" cy="351155"/>
                  <wp:effectExtent l="0" t="0" r="1905" b="4445"/>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6"/>
                          <a:stretch>
                            <a:fillRect/>
                          </a:stretch>
                        </pic:blipFill>
                        <pic:spPr>
                          <a:xfrm>
                            <a:off x="0" y="0"/>
                            <a:ext cx="696595" cy="351155"/>
                          </a:xfrm>
                          <a:prstGeom prst="rect">
                            <a:avLst/>
                          </a:prstGeom>
                        </pic:spPr>
                      </pic:pic>
                    </a:graphicData>
                  </a:graphic>
                </wp:inline>
              </w:drawing>
            </w:r>
          </w:p>
          <w:p>
            <w:pPr>
              <w:rPr>
                <w:rFonts w:hint="default"/>
              </w:rPr>
            </w:pPr>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cs="宋体"/>
                <w:color w:val="000000"/>
                <w:kern w:val="0"/>
                <w:szCs w:val="21"/>
              </w:rPr>
              <w:t>2022年10月19日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价值观□文化</w:t>
                  </w:r>
                  <w:r>
                    <w:rPr>
                      <w:rFonts w:hint="eastAsia"/>
                      <w:lang w:eastAsia="zh-CN"/>
                    </w:rPr>
                    <w:t>■</w:t>
                  </w:r>
                  <w:r>
                    <w:rPr>
                      <w:rFonts w:hint="eastAsia"/>
                    </w:rPr>
                    <w:t>知识□绩效□工艺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人员能力□检测水平□合同评审□知识保密</w:t>
            </w:r>
          </w:p>
          <w:p>
            <w:pPr>
              <w:shd w:val="clear" w:color="auto" w:fill="C7DAF1" w:themeFill="text2" w:themeFillTint="32"/>
              <w:spacing w:before="40" w:after="40"/>
            </w:pPr>
            <w:r>
              <w:rPr>
                <w:rFonts w:hint="eastAsia"/>
                <w:lang w:eastAsia="zh-CN"/>
              </w:rPr>
              <w:t>■</w:t>
            </w:r>
            <w:r>
              <w:rPr>
                <w:rFonts w:hint="eastAsia"/>
              </w:rPr>
              <w:t>新产品设计开发□原材料采购□外部供方控制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最高管理者制定了文件化的管理体系方针：精益求精 创“林克斯”新优势</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632"/>
              <w:gridCol w:w="185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质量目标</w:t>
                  </w:r>
                </w:p>
              </w:tc>
              <w:tc>
                <w:tcPr>
                  <w:tcW w:w="2632" w:type="dxa"/>
                  <w:shd w:val="clear" w:color="auto" w:fill="auto"/>
                </w:tcPr>
                <w:p>
                  <w:pPr>
                    <w:shd w:val="clear" w:color="auto" w:fill="C7DAF1" w:themeFill="text2" w:themeFillTint="3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计算方法</w:t>
                  </w:r>
                </w:p>
              </w:tc>
              <w:tc>
                <w:tcPr>
                  <w:tcW w:w="1854" w:type="dxa"/>
                  <w:shd w:val="clear" w:color="auto" w:fill="auto"/>
                </w:tcPr>
                <w:p>
                  <w:pPr>
                    <w:shd w:val="clear" w:color="auto" w:fill="C7DAF1" w:themeFill="text2" w:themeFillTint="3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责任部门</w:t>
                  </w:r>
                </w:p>
              </w:tc>
              <w:tc>
                <w:tcPr>
                  <w:tcW w:w="1774" w:type="dxa"/>
                  <w:shd w:val="clear" w:color="auto" w:fill="auto"/>
                </w:tcPr>
                <w:p>
                  <w:pPr>
                    <w:shd w:val="clear" w:color="auto" w:fill="C7DAF1" w:themeFill="text2" w:themeFillTint="3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产品交付合格率≥95%；</w:t>
                  </w:r>
                </w:p>
              </w:tc>
              <w:tc>
                <w:tcPr>
                  <w:tcW w:w="2632" w:type="dxa"/>
                  <w:shd w:val="clear" w:color="auto" w:fill="auto"/>
                  <w:vAlign w:val="center"/>
                </w:tcPr>
                <w:p>
                  <w:pPr>
                    <w:shd w:val="clear" w:color="auto" w:fill="C7DAF1" w:themeFill="text2" w:themeFillTint="32"/>
                    <w:rPr>
                      <w:rFonts w:hint="eastAsia"/>
                      <w:color w:val="000000" w:themeColor="text1"/>
                      <w:sz w:val="21"/>
                      <w:szCs w:val="21"/>
                      <w:lang w:val="en-GB"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交付合格数/交付总数*100%</w:t>
                  </w:r>
                </w:p>
              </w:tc>
              <w:tc>
                <w:tcPr>
                  <w:tcW w:w="1854" w:type="dxa"/>
                  <w:shd w:val="clear" w:color="auto" w:fill="auto"/>
                  <w:vAlign w:val="center"/>
                </w:tcPr>
                <w:p>
                  <w:pPr>
                    <w:shd w:val="clear" w:color="auto" w:fill="C7DAF1" w:themeFill="text2" w:themeFillTint="32"/>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研发部</w:t>
                  </w:r>
                </w:p>
              </w:tc>
              <w:tc>
                <w:tcPr>
                  <w:tcW w:w="1774" w:type="dxa"/>
                  <w:shd w:val="clear" w:color="auto" w:fill="auto"/>
                  <w:vAlign w:val="center"/>
                </w:tcPr>
                <w:p>
                  <w:pPr>
                    <w:jc w:val="center"/>
                    <w:rPr>
                      <w:rFonts w:ascii="宋体" w:hAnsi="宋体"/>
                      <w:b w:val="0"/>
                      <w:bCs/>
                      <w:color w:val="000000" w:themeColor="text1"/>
                      <w:highlight w:val="red"/>
                      <w:lang w:val="en-GB"/>
                      <w14:textFill>
                        <w14:solidFill>
                          <w14:schemeClr w14:val="tx1"/>
                        </w14:solidFill>
                      </w14:textFill>
                    </w:rPr>
                  </w:pPr>
                  <w:r>
                    <w:rPr>
                      <w:rFonts w:hint="eastAsia"/>
                      <w:b w:val="0"/>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合同按时完成率100%</w:t>
                  </w:r>
                </w:p>
              </w:tc>
              <w:tc>
                <w:tcPr>
                  <w:tcW w:w="2632" w:type="dxa"/>
                  <w:shd w:val="clear" w:color="auto" w:fill="auto"/>
                  <w:vAlign w:val="center"/>
                </w:tcPr>
                <w:p>
                  <w:pPr>
                    <w:shd w:val="clear" w:color="auto" w:fill="C7DAF1" w:themeFill="text2" w:themeFillTint="32"/>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按时完成数/合同总数*100%</w:t>
                  </w:r>
                </w:p>
              </w:tc>
              <w:tc>
                <w:tcPr>
                  <w:tcW w:w="1854" w:type="dxa"/>
                  <w:shd w:val="clear" w:color="auto" w:fill="auto"/>
                  <w:vAlign w:val="center"/>
                </w:tcPr>
                <w:p>
                  <w:pPr>
                    <w:shd w:val="clear" w:color="auto" w:fill="C7DAF1" w:themeFill="text2" w:themeFillTint="32"/>
                    <w:rPr>
                      <w:rFonts w:ascii="宋体" w:hAnsi="宋体"/>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销售技术服务部</w:t>
                  </w:r>
                </w:p>
              </w:tc>
              <w:tc>
                <w:tcPr>
                  <w:tcW w:w="1774" w:type="dxa"/>
                  <w:shd w:val="clear" w:color="auto" w:fill="auto"/>
                  <w:vAlign w:val="center"/>
                </w:tcPr>
                <w:p>
                  <w:pPr>
                    <w:jc w:val="center"/>
                    <w:rPr>
                      <w:rFonts w:ascii="宋体" w:hAnsi="宋体"/>
                      <w:b w:val="0"/>
                      <w:bCs/>
                      <w:color w:val="000000" w:themeColor="text1"/>
                      <w:highlight w:val="red"/>
                      <w14:textFill>
                        <w14:solidFill>
                          <w14:schemeClr w14:val="tx1"/>
                        </w14:solidFill>
                      </w14:textFill>
                    </w:rPr>
                  </w:pPr>
                  <w:r>
                    <w:rPr>
                      <w:b w:val="0"/>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顾客满意率≥90分；</w:t>
                  </w:r>
                </w:p>
              </w:tc>
              <w:tc>
                <w:tcPr>
                  <w:tcW w:w="2632" w:type="dxa"/>
                  <w:shd w:val="clear" w:color="auto" w:fill="auto"/>
                  <w:vAlign w:val="center"/>
                </w:tcPr>
                <w:p>
                  <w:pPr>
                    <w:shd w:val="clear" w:color="auto" w:fill="C7DAF1" w:themeFill="text2" w:themeFillTint="32"/>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满意得分和/总调查数</w:t>
                  </w:r>
                </w:p>
              </w:tc>
              <w:tc>
                <w:tcPr>
                  <w:tcW w:w="1854" w:type="dxa"/>
                  <w:shd w:val="clear" w:color="auto" w:fill="auto"/>
                  <w:vAlign w:val="center"/>
                </w:tcPr>
                <w:p>
                  <w:pPr>
                    <w:shd w:val="clear" w:color="auto" w:fill="C7DAF1" w:themeFill="text2" w:themeFillTint="32"/>
                    <w:rPr>
                      <w:rFonts w:ascii="宋体" w:hAnsi="宋体"/>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销售技术服务部</w:t>
                  </w:r>
                </w:p>
              </w:tc>
              <w:tc>
                <w:tcPr>
                  <w:tcW w:w="1774" w:type="dxa"/>
                  <w:shd w:val="clear" w:color="auto" w:fill="auto"/>
                  <w:vAlign w:val="center"/>
                </w:tcPr>
                <w:p>
                  <w:pPr>
                    <w:jc w:val="center"/>
                    <w:rPr>
                      <w:rFonts w:hint="default" w:ascii="宋体" w:hAnsi="宋体" w:eastAsia="宋体"/>
                      <w:b w:val="0"/>
                      <w:bCs/>
                      <w:color w:val="000000" w:themeColor="text1"/>
                      <w:highlight w:val="red"/>
                      <w:lang w:val="en-US" w:eastAsia="zh-CN"/>
                      <w14:textFill>
                        <w14:solidFill>
                          <w14:schemeClr w14:val="tx1"/>
                        </w14:solidFill>
                      </w14:textFill>
                    </w:rPr>
                  </w:pPr>
                  <w:r>
                    <w:rPr>
                      <w:rFonts w:hint="eastAsia"/>
                      <w:b w:val="0"/>
                      <w:bCs/>
                    </w:rPr>
                    <w:t>9</w:t>
                  </w:r>
                  <w:r>
                    <w:rPr>
                      <w:rFonts w:hint="eastAsia"/>
                      <w:b w:val="0"/>
                      <w:bCs/>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color w:val="000000" w:themeColor="text1"/>
                      <w14:textFill>
                        <w14:solidFill>
                          <w14:schemeClr w14:val="tx1"/>
                        </w14:solidFill>
                      </w14:textFill>
                    </w:rPr>
                  </w:pPr>
                </w:p>
              </w:tc>
              <w:tc>
                <w:tcPr>
                  <w:tcW w:w="2632" w:type="dxa"/>
                  <w:shd w:val="clear" w:color="auto" w:fill="auto"/>
                  <w:vAlign w:val="center"/>
                </w:tcPr>
                <w:p>
                  <w:pPr>
                    <w:shd w:val="clear" w:color="auto" w:fill="C7DAF1" w:themeFill="text2" w:themeFillTint="32"/>
                    <w:rPr>
                      <w:rFonts w:ascii="宋体" w:hAnsi="宋体"/>
                      <w:color w:val="000000" w:themeColor="text1"/>
                      <w14:textFill>
                        <w14:solidFill>
                          <w14:schemeClr w14:val="tx1"/>
                        </w14:solidFill>
                      </w14:textFill>
                    </w:rPr>
                  </w:pPr>
                </w:p>
              </w:tc>
              <w:tc>
                <w:tcPr>
                  <w:tcW w:w="1854" w:type="dxa"/>
                  <w:shd w:val="clear" w:color="auto" w:fill="auto"/>
                  <w:vAlign w:val="center"/>
                </w:tcPr>
                <w:p>
                  <w:pPr>
                    <w:shd w:val="clear" w:color="auto" w:fill="C7DAF1" w:themeFill="text2" w:themeFillTint="32"/>
                    <w:rPr>
                      <w:rFonts w:ascii="宋体" w:hAnsi="宋体"/>
                      <w:color w:val="000000" w:themeColor="text1"/>
                      <w14:textFill>
                        <w14:solidFill>
                          <w14:schemeClr w14:val="tx1"/>
                        </w14:solidFill>
                      </w14:textFill>
                    </w:rPr>
                  </w:pPr>
                </w:p>
              </w:tc>
              <w:tc>
                <w:tcPr>
                  <w:tcW w:w="1774" w:type="dxa"/>
                  <w:shd w:val="clear" w:color="auto" w:fill="auto"/>
                  <w:vAlign w:val="center"/>
                </w:tcPr>
                <w:p>
                  <w:pPr>
                    <w:shd w:val="clear" w:color="auto" w:fill="C7DAF1" w:themeFill="text2" w:themeFillTint="32"/>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color w:val="000000" w:themeColor="text1"/>
                      <w14:textFill>
                        <w14:solidFill>
                          <w14:schemeClr w14:val="tx1"/>
                        </w14:solidFill>
                      </w14:textFill>
                    </w:rPr>
                  </w:pPr>
                </w:p>
              </w:tc>
              <w:tc>
                <w:tcPr>
                  <w:tcW w:w="2632" w:type="dxa"/>
                  <w:shd w:val="clear" w:color="auto" w:fill="auto"/>
                  <w:vAlign w:val="center"/>
                </w:tcPr>
                <w:p>
                  <w:pPr>
                    <w:shd w:val="clear" w:color="auto" w:fill="C7DAF1" w:themeFill="text2" w:themeFillTint="32"/>
                    <w:rPr>
                      <w:rFonts w:ascii="宋体" w:hAnsi="宋体"/>
                      <w:color w:val="000000" w:themeColor="text1"/>
                      <w14:textFill>
                        <w14:solidFill>
                          <w14:schemeClr w14:val="tx1"/>
                        </w14:solidFill>
                      </w14:textFill>
                    </w:rPr>
                  </w:pPr>
                </w:p>
              </w:tc>
              <w:tc>
                <w:tcPr>
                  <w:tcW w:w="1854" w:type="dxa"/>
                  <w:shd w:val="clear" w:color="auto" w:fill="auto"/>
                  <w:vAlign w:val="center"/>
                </w:tcPr>
                <w:p>
                  <w:pPr>
                    <w:shd w:val="clear" w:color="auto" w:fill="C7DAF1" w:themeFill="text2" w:themeFillTint="32"/>
                    <w:rPr>
                      <w:rFonts w:ascii="宋体" w:hAnsi="宋体"/>
                      <w:color w:val="000000" w:themeColor="text1"/>
                      <w14:textFill>
                        <w14:solidFill>
                          <w14:schemeClr w14:val="tx1"/>
                        </w14:solidFill>
                      </w14:textFill>
                    </w:rPr>
                  </w:pPr>
                </w:p>
              </w:tc>
              <w:tc>
                <w:tcPr>
                  <w:tcW w:w="1774" w:type="dxa"/>
                  <w:shd w:val="clear" w:color="auto" w:fill="auto"/>
                  <w:vAlign w:val="center"/>
                </w:tcPr>
                <w:p>
                  <w:pPr>
                    <w:shd w:val="clear" w:color="auto" w:fill="C7DAF1" w:themeFill="text2" w:themeFillTint="32"/>
                    <w:jc w:val="center"/>
                    <w:rPr>
                      <w:rFonts w:ascii="宋体" w:hAnsi="宋体"/>
                      <w:color w:val="000000" w:themeColor="text1"/>
                      <w14:textFill>
                        <w14:solidFill>
                          <w14:schemeClr w14:val="tx1"/>
                        </w14:solidFill>
                      </w14:textFill>
                    </w:rPr>
                  </w:pPr>
                </w:p>
              </w:tc>
            </w:tr>
          </w:tbl>
          <w:p>
            <w:pPr>
              <w:shd w:val="clear" w:color="auto" w:fill="C7DAF1" w:themeFill="text2" w:themeFillTint="32"/>
            </w:pPr>
            <w:r>
              <w:rPr>
                <w:rFonts w:hint="eastAsia" w:ascii="Wingdings" w:hAnsi="Wingdings"/>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组织应确定、提供并维护所需的基础设施情况：</w:t>
            </w:r>
          </w:p>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建筑面积</w:t>
            </w:r>
            <w:r>
              <w:rPr>
                <w:rFonts w:hint="eastAsia"/>
                <w:color w:val="000000" w:themeColor="text1"/>
                <w:lang w:val="en-US" w:eastAsia="zh-CN"/>
                <w14:textFill>
                  <w14:solidFill>
                    <w14:schemeClr w14:val="tx1"/>
                  </w14:solidFill>
                </w14:textFill>
              </w:rPr>
              <w:t>200</w:t>
            </w:r>
            <w:r>
              <w:rPr>
                <w:rFonts w:hint="eastAsia"/>
                <w:color w:val="000000" w:themeColor="text1"/>
                <w14:textFill>
                  <w14:solidFill>
                    <w14:schemeClr w14:val="tx1"/>
                  </w14:solidFill>
                </w14:textFill>
              </w:rPr>
              <w:t>平方米；生产车间</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个；库房</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个；实验室</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个；</w:t>
            </w:r>
          </w:p>
          <w:p>
            <w:pPr>
              <w:shd w:val="clear" w:color="auto" w:fill="C7DAF1" w:themeFill="text2" w:themeFillTint="32"/>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主要生产设备有：</w:t>
            </w:r>
            <w:r>
              <w:rPr>
                <w:rFonts w:hint="eastAsia"/>
                <w:color w:val="000000" w:themeColor="text1"/>
                <w:u w:val="single"/>
                <w14:textFill>
                  <w14:solidFill>
                    <w14:schemeClr w14:val="tx1"/>
                  </w14:solidFill>
                </w14:textFill>
              </w:rPr>
              <w:t>电脑、打印机、设计开发软件、空调、办公桌等办公设施</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rPr>
                <w:highlight w:val="none"/>
              </w:rPr>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highlight w:val="none"/>
              </w:rPr>
              <w:t>外校</w:t>
            </w:r>
          </w:p>
          <w:p>
            <w:pPr>
              <w:shd w:val="clear" w:color="auto" w:fill="C7DAF1" w:themeFill="text2" w:themeFillTint="32"/>
              <w:rPr>
                <w:highlight w:val="none"/>
                <w:u w:val="single"/>
              </w:rPr>
            </w:pPr>
            <w:r>
              <w:rPr>
                <w:rFonts w:hint="eastAsia"/>
                <w:highlight w:val="none"/>
              </w:rPr>
              <w:t>国家强检的计量器具有：</w:t>
            </w:r>
            <w:r>
              <w:rPr>
                <w:rFonts w:hint="eastAsia"/>
                <w:highlight w:val="none"/>
                <w:u w:val="single"/>
              </w:rPr>
              <w:t>万用表、示波器、信号分析仪</w:t>
            </w:r>
          </w:p>
          <w:p>
            <w:pPr>
              <w:shd w:val="clear" w:color="auto" w:fill="C7DAF1" w:themeFill="text2" w:themeFillTint="32"/>
              <w:rPr>
                <w:rFonts w:hint="default" w:eastAsia="宋体"/>
                <w:u w:val="single"/>
                <w:lang w:val="en-US" w:eastAsia="zh-CN"/>
              </w:rPr>
            </w:pPr>
            <w:r>
              <w:rPr>
                <w:rFonts w:hint="eastAsia"/>
                <w:highlight w:val="none"/>
              </w:rPr>
              <w:t>计量器具管理：</w:t>
            </w:r>
            <w:r>
              <w:rPr>
                <w:rFonts w:hint="eastAsia" w:ascii="宋体" w:hAnsi="宋体" w:eastAsia="宋体" w:cs="宋体"/>
                <w:highlight w:val="none"/>
                <w:lang w:eastAsia="zh-CN"/>
              </w:rPr>
              <w:t>■</w:t>
            </w:r>
            <w:r>
              <w:rPr>
                <w:rFonts w:hint="eastAsia"/>
                <w:highlight w:val="none"/>
              </w:rPr>
              <w:t>进行了定期校准/检定</w:t>
            </w:r>
            <w:r>
              <w:rPr>
                <w:rFonts w:hint="eastAsia" w:ascii="Wingdings" w:hAnsi="Wingdings"/>
                <w:highlight w:val="none"/>
                <w:lang w:eastAsia="zh-CN"/>
              </w:rPr>
              <w:t>□</w:t>
            </w:r>
            <w:r>
              <w:rPr>
                <w:rFonts w:hint="eastAsia"/>
                <w:highlight w:val="none"/>
              </w:rPr>
              <w:t>未进行定期校准/检定的有：</w:t>
            </w:r>
            <w:r>
              <w:rPr>
                <w:rFonts w:hint="eastAsia"/>
                <w:lang w:val="en-US" w:eastAsia="zh-CN"/>
              </w:rPr>
              <w:t xml:space="preserve"> </w:t>
            </w:r>
            <w:r>
              <w:rPr>
                <w:rFonts w:hint="eastAsia"/>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组织建立、实施和保持了适当的设计和开发过程，以确保后续的产品和服务的提供。（适用时）</w:t>
            </w:r>
          </w:p>
          <w:p>
            <w:pPr>
              <w:shd w:val="clear" w:color="auto" w:fill="C7DAF1" w:themeFill="text2" w:themeFillTint="32"/>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审核期间内设计和开发新产品/项目名称：</w:t>
            </w:r>
            <w:r>
              <w:rPr>
                <w:rFonts w:hint="eastAsia"/>
                <w:color w:val="000000" w:themeColor="text1"/>
                <w:highlight w:val="none"/>
                <w:u w:val="single"/>
                <w:lang w:eastAsia="zh-CN"/>
                <w14:textFill>
                  <w14:solidFill>
                    <w14:schemeClr w14:val="tx1"/>
                  </w14:solidFill>
                </w14:textFill>
              </w:rPr>
              <w:t>高压开关柜防凝露系统（HybridC-01）</w:t>
            </w:r>
          </w:p>
          <w:p>
            <w:pPr>
              <w:shd w:val="clear" w:color="auto" w:fill="C7DAF1" w:themeFill="text2" w:themeFillTin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该项目的设计和开发的输入、输出、变更进行了控制。</w:t>
            </w:r>
          </w:p>
          <w:p>
            <w:pPr>
              <w:shd w:val="clear" w:color="auto" w:fill="C7DAF1" w:themeFill="text2" w:themeFillTint="32"/>
              <w:rPr>
                <w:highlight w:val="none"/>
              </w:rPr>
            </w:pPr>
            <w:r>
              <w:rPr>
                <w:rFonts w:hint="eastAsia"/>
                <w:color w:val="000000" w:themeColor="text1"/>
                <w:highlight w:val="none"/>
                <w14:textFill>
                  <w14:solidFill>
                    <w14:schemeClr w14:val="tx1"/>
                  </w14:solidFill>
                </w14:textFill>
              </w:rPr>
              <w:t>设计和开发控制：</w:t>
            </w:r>
            <w:r>
              <w:rPr>
                <w:rFonts w:hint="eastAsia" w:ascii="Wingdings" w:hAnsi="Wingdings"/>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符合要求</w:t>
            </w:r>
            <w:r>
              <w:rPr>
                <w:rFonts w:hint="eastAsia" w:ascii="Wingdings" w:hAnsi="Wingdings"/>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highlight w:val="none"/>
              </w:rPr>
            </w:pPr>
            <w:r>
              <w:rPr>
                <w:rFonts w:hint="eastAsia"/>
                <w:highlight w:val="none"/>
              </w:rPr>
              <w:t>组织的生产和服务提供流程图（见第三条款），</w:t>
            </w:r>
          </w:p>
          <w:p>
            <w:pPr>
              <w:shd w:val="clear" w:color="auto" w:fill="C7DAF1" w:themeFill="text2" w:themeFillTint="32"/>
              <w:jc w:val="left"/>
              <w:rPr>
                <w:highlight w:val="none"/>
              </w:rPr>
            </w:pPr>
            <w:r>
              <w:rPr>
                <w:rFonts w:hint="eastAsia"/>
                <w:highlight w:val="none"/>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highlight w:val="none"/>
                    </w:rPr>
                  </w:pPr>
                  <w:r>
                    <w:rPr>
                      <w:rFonts w:hint="eastAsia"/>
                      <w:highlight w:val="none"/>
                    </w:rPr>
                    <w:t>产品/服务名称</w:t>
                  </w:r>
                </w:p>
              </w:tc>
              <w:tc>
                <w:tcPr>
                  <w:tcW w:w="3665" w:type="dxa"/>
                </w:tcPr>
                <w:p>
                  <w:pPr>
                    <w:shd w:val="clear" w:color="auto" w:fill="C7DAF1" w:themeFill="text2" w:themeFillTint="32"/>
                    <w:jc w:val="left"/>
                    <w:rPr>
                      <w:highlight w:val="none"/>
                    </w:rPr>
                  </w:pPr>
                  <w:r>
                    <w:rPr>
                      <w:rFonts w:hint="eastAsia"/>
                      <w:highlight w:val="none"/>
                    </w:rPr>
                    <w:t>关键过程</w:t>
                  </w:r>
                </w:p>
              </w:tc>
              <w:tc>
                <w:tcPr>
                  <w:tcW w:w="3265" w:type="dxa"/>
                </w:tcPr>
                <w:p>
                  <w:pPr>
                    <w:shd w:val="clear" w:color="auto" w:fill="C7DAF1" w:themeFill="text2" w:themeFillTint="32"/>
                    <w:jc w:val="left"/>
                    <w:rPr>
                      <w:highlight w:val="none"/>
                    </w:rPr>
                  </w:pPr>
                  <w:r>
                    <w:rPr>
                      <w:rFonts w:hint="eastAsia"/>
                      <w:highlight w:val="none"/>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highlight w:val="none"/>
                    </w:rPr>
                  </w:pPr>
                  <w:r>
                    <w:rPr>
                      <w:sz w:val="20"/>
                      <w:highlight w:val="none"/>
                    </w:rPr>
                    <w:t>开关柜防凝露系统研发、销售</w:t>
                  </w:r>
                </w:p>
              </w:tc>
              <w:tc>
                <w:tcPr>
                  <w:tcW w:w="3665" w:type="dxa"/>
                </w:tcPr>
                <w:p>
                  <w:pPr>
                    <w:shd w:val="clear" w:color="auto" w:fill="C7DAF1" w:themeFill="text2" w:themeFillTint="32"/>
                    <w:jc w:val="left"/>
                    <w:rPr>
                      <w:rFonts w:hint="eastAsia" w:eastAsia="宋体"/>
                      <w:highlight w:val="none"/>
                      <w:lang w:eastAsia="zh-CN"/>
                    </w:rPr>
                  </w:pPr>
                  <w:r>
                    <w:rPr>
                      <w:rFonts w:hint="eastAsia"/>
                      <w:highlight w:val="none"/>
                      <w:lang w:eastAsia="zh-CN"/>
                    </w:rPr>
                    <w:t>研发、销售</w:t>
                  </w:r>
                </w:p>
              </w:tc>
              <w:tc>
                <w:tcPr>
                  <w:tcW w:w="3265" w:type="dxa"/>
                </w:tcPr>
                <w:p>
                  <w:pPr>
                    <w:shd w:val="clear" w:color="auto" w:fill="C7DAF1" w:themeFill="text2" w:themeFillTint="32"/>
                    <w:jc w:val="left"/>
                    <w:rPr>
                      <w:rFonts w:hint="eastAsia" w:eastAsia="宋体"/>
                      <w:highlight w:val="none"/>
                      <w:lang w:eastAsia="zh-CN"/>
                    </w:rPr>
                  </w:pPr>
                  <w:r>
                    <w:rPr>
                      <w:rFonts w:hint="eastAsia"/>
                      <w:highlight w:val="none"/>
                      <w:lang w:eastAsia="zh-CN"/>
                    </w:rPr>
                    <w:t>研发合格率、顾客满意度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highlight w:val="none"/>
                    </w:rPr>
                  </w:pPr>
                </w:p>
              </w:tc>
              <w:tc>
                <w:tcPr>
                  <w:tcW w:w="3665" w:type="dxa"/>
                </w:tcPr>
                <w:p>
                  <w:pPr>
                    <w:shd w:val="clear" w:color="auto" w:fill="C7DAF1" w:themeFill="text2" w:themeFillTint="32"/>
                    <w:jc w:val="left"/>
                    <w:rPr>
                      <w:highlight w:val="none"/>
                    </w:rPr>
                  </w:pPr>
                </w:p>
              </w:tc>
              <w:tc>
                <w:tcPr>
                  <w:tcW w:w="3265" w:type="dxa"/>
                </w:tcPr>
                <w:p>
                  <w:pPr>
                    <w:shd w:val="clear" w:color="auto" w:fill="C7DAF1" w:themeFill="text2"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highlight w:val="none"/>
                    </w:rPr>
                  </w:pPr>
                </w:p>
              </w:tc>
              <w:tc>
                <w:tcPr>
                  <w:tcW w:w="3665" w:type="dxa"/>
                </w:tcPr>
                <w:p>
                  <w:pPr>
                    <w:shd w:val="clear" w:color="auto" w:fill="C7DAF1" w:themeFill="text2" w:themeFillTint="32"/>
                    <w:jc w:val="left"/>
                    <w:rPr>
                      <w:highlight w:val="none"/>
                    </w:rPr>
                  </w:pPr>
                </w:p>
              </w:tc>
              <w:tc>
                <w:tcPr>
                  <w:tcW w:w="3265" w:type="dxa"/>
                </w:tcPr>
                <w:p>
                  <w:pPr>
                    <w:shd w:val="clear" w:color="auto" w:fill="C7DAF1" w:themeFill="text2" w:themeFillTint="32"/>
                    <w:jc w:val="left"/>
                    <w:rPr>
                      <w:highlight w:val="none"/>
                    </w:rPr>
                  </w:pPr>
                </w:p>
              </w:tc>
            </w:tr>
          </w:tbl>
          <w:p>
            <w:pPr>
              <w:shd w:val="clear" w:color="auto" w:fill="C7DAF1" w:themeFill="text2" w:themeFillTint="32"/>
              <w:jc w:val="left"/>
              <w:rPr>
                <w:highlight w:val="none"/>
              </w:rPr>
            </w:pPr>
          </w:p>
          <w:p>
            <w:pPr>
              <w:shd w:val="clear" w:color="auto" w:fill="C7DAF1" w:themeFill="text2" w:themeFillTint="32"/>
              <w:jc w:val="left"/>
              <w:rPr>
                <w:highlight w:val="none"/>
              </w:rPr>
            </w:pPr>
            <w:r>
              <w:rPr>
                <w:rFonts w:hint="eastAsia"/>
                <w:highlight w:val="none"/>
              </w:rPr>
              <w:t>需要确认的过程：</w:t>
            </w:r>
            <w:r>
              <w:rPr>
                <w:rFonts w:hint="eastAsia"/>
                <w:highlight w:val="none"/>
                <w:lang w:eastAsia="zh-CN"/>
              </w:rPr>
              <w:t>研发过程、销售</w:t>
            </w:r>
            <w:r>
              <w:rPr>
                <w:rFonts w:hint="eastAsia"/>
                <w:highlight w:val="none"/>
                <w:lang w:val="en-US" w:eastAsia="zh-CN"/>
              </w:rPr>
              <w:t>服务</w:t>
            </w:r>
            <w:r>
              <w:rPr>
                <w:rFonts w:hint="eastAsia"/>
                <w:highlight w:val="none"/>
                <w:lang w:eastAsia="zh-CN"/>
              </w:rPr>
              <w:t>过程</w:t>
            </w:r>
            <w:r>
              <w:rPr>
                <w:rFonts w:hint="eastAsia"/>
                <w:highlight w:val="none"/>
              </w:rPr>
              <w:t>，</w:t>
            </w:r>
          </w:p>
          <w:p>
            <w:pPr>
              <w:shd w:val="clear" w:color="auto" w:fill="C7DAF1" w:themeFill="text2" w:themeFillTint="32"/>
              <w:jc w:val="left"/>
              <w:rPr>
                <w:highlight w:val="none"/>
              </w:rPr>
            </w:pPr>
            <w:r>
              <w:rPr>
                <w:rFonts w:hint="eastAsia" w:ascii="Wingdings" w:hAnsi="Wingdings"/>
                <w:highlight w:val="none"/>
                <w:lang w:eastAsia="zh-CN"/>
              </w:rPr>
              <w:t>■</w:t>
            </w:r>
            <w:r>
              <w:rPr>
                <w:rFonts w:hint="eastAsia"/>
                <w:highlight w:val="none"/>
                <w:u w:val="single"/>
                <w:lang w:eastAsia="zh-CN"/>
              </w:rPr>
              <w:t>研发过程</w:t>
            </w:r>
            <w:r>
              <w:rPr>
                <w:rFonts w:hint="eastAsia"/>
                <w:highlight w:val="none"/>
                <w:u w:val="single"/>
              </w:rPr>
              <w:t>进行了有效的确认</w:t>
            </w:r>
            <w:r>
              <w:rPr>
                <w:rFonts w:hint="eastAsia" w:ascii="宋体" w:hAnsi="宋体" w:eastAsia="宋体" w:cs="宋体"/>
                <w:highlight w:val="none"/>
                <w:lang w:eastAsia="zh-CN"/>
              </w:rPr>
              <w:t>■</w:t>
            </w:r>
            <w:r>
              <w:rPr>
                <w:rFonts w:hint="eastAsia"/>
                <w:highlight w:val="none"/>
              </w:rPr>
              <w:t>存在不足，说明</w:t>
            </w:r>
            <w:r>
              <w:rPr>
                <w:rFonts w:hint="eastAsia"/>
                <w:highlight w:val="none"/>
                <w:lang w:eastAsia="zh-CN"/>
              </w:rPr>
              <w:t>：</w:t>
            </w:r>
            <w:r>
              <w:rPr>
                <w:rFonts w:hint="eastAsia"/>
                <w:highlight w:val="none"/>
                <w:u w:val="single"/>
                <w:lang w:val="en-US" w:eastAsia="zh-CN"/>
              </w:rPr>
              <w:t>销售服务过程末进行年度确认</w:t>
            </w:r>
            <w:r>
              <w:rPr>
                <w:rFonts w:hint="eastAsia"/>
                <w:highlight w:val="none"/>
              </w:rPr>
              <w:t>。</w:t>
            </w:r>
          </w:p>
          <w:p>
            <w:pPr>
              <w:shd w:val="clear" w:color="auto" w:fill="C7DAF1" w:themeFill="text2" w:themeFillTint="32"/>
              <w:jc w:val="left"/>
              <w:rPr>
                <w:highlight w:val="none"/>
              </w:rPr>
            </w:pPr>
          </w:p>
          <w:p>
            <w:pPr>
              <w:shd w:val="clear" w:color="auto" w:fill="C7DAF1" w:themeFill="text2" w:themeFillTint="32"/>
              <w:jc w:val="left"/>
              <w:rPr>
                <w:highlight w:val="none"/>
              </w:rPr>
            </w:pPr>
            <w:r>
              <w:rPr>
                <w:rFonts w:hint="eastAsia"/>
                <w:highlight w:val="none"/>
              </w:rPr>
              <w:t>对生产和服务提供过程的控制</w:t>
            </w:r>
            <w:r>
              <w:rPr>
                <w:rFonts w:hint="eastAsia" w:ascii="Wingdings" w:hAnsi="Wingdings"/>
                <w:highlight w:val="none"/>
                <w:lang w:eastAsia="zh-CN"/>
              </w:rPr>
              <w:t>□</w:t>
            </w:r>
            <w:r>
              <w:rPr>
                <w:rFonts w:hint="eastAsia"/>
                <w:highlight w:val="none"/>
              </w:rPr>
              <w:t>符合要求</w:t>
            </w:r>
            <w:r>
              <w:rPr>
                <w:rFonts w:hint="eastAsia" w:ascii="宋体" w:hAnsi="宋体" w:eastAsia="宋体" w:cs="宋体"/>
                <w:highlight w:val="none"/>
                <w:lang w:eastAsia="zh-CN"/>
              </w:rPr>
              <w:t>■</w:t>
            </w:r>
            <w:r>
              <w:rPr>
                <w:rFonts w:hint="eastAsia"/>
                <w:highlight w:val="none"/>
              </w:rPr>
              <w:t>存在不足，说明</w:t>
            </w:r>
            <w:r>
              <w:rPr>
                <w:rFonts w:hint="eastAsia"/>
                <w:highlight w:val="none"/>
                <w:u w:val="single"/>
                <w:lang w:val="en-US" w:eastAsia="zh-CN"/>
              </w:rPr>
              <w:t>销售服务过程末进行年度确认</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■三包□</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宋体" w:hAnsi="宋体" w:eastAsia="宋体" w:cs="宋体"/>
                <w:lang w:eastAsia="zh-CN"/>
              </w:rPr>
              <w:t>■</w:t>
            </w:r>
            <w:r>
              <w:rPr>
                <w:rFonts w:hint="eastAsia"/>
              </w:rPr>
              <w:t>进货检验</w:t>
            </w:r>
            <w:r>
              <w:rPr>
                <w:rFonts w:hint="eastAsia" w:ascii="Wingdings" w:hAnsi="Wingdings"/>
                <w:lang w:eastAsia="zh-CN"/>
              </w:rPr>
              <w:t>□</w:t>
            </w:r>
            <w:r>
              <w:rPr>
                <w:rFonts w:hint="eastAsia"/>
              </w:rPr>
              <w:t>首件检验</w:t>
            </w:r>
            <w:r>
              <w:rPr>
                <w:rFonts w:hint="eastAsia" w:ascii="宋体" w:hAnsi="宋体" w:eastAsia="宋体" w:cs="宋体"/>
                <w:lang w:eastAsia="zh-CN"/>
              </w:rPr>
              <w:t>■</w:t>
            </w:r>
            <w:r>
              <w:rPr>
                <w:rFonts w:hint="eastAsia"/>
              </w:rPr>
              <w:t>过程检验</w:t>
            </w:r>
            <w:r>
              <w:rPr>
                <w:rFonts w:hint="eastAsia" w:ascii="宋体" w:hAnsi="宋体" w:eastAsia="宋体" w:cs="宋体"/>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宋体" w:hAnsi="宋体" w:eastAsia="宋体" w:cs="宋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组织已</w:t>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通过年度策划</w:t>
            </w:r>
            <w:r>
              <w:rPr>
                <w:rFonts w:hint="eastAsia"/>
                <w:color w:val="000000" w:themeColor="text1"/>
                <w:highlight w:val="none"/>
                <w14:textFill>
                  <w14:solidFill>
                    <w14:schemeClr w14:val="tx1"/>
                  </w14:solidFill>
                </w14:textFill>
              </w:rPr>
              <w:t>于</w:t>
            </w:r>
            <w:r>
              <w:rPr>
                <w:rFonts w:hint="eastAsia"/>
                <w:color w:val="000000" w:themeColor="text1"/>
                <w:highlight w:val="none"/>
                <w:u w:val="single"/>
                <w:lang w:eastAsia="zh-CN"/>
                <w14:textFill>
                  <w14:solidFill>
                    <w14:schemeClr w14:val="tx1"/>
                  </w14:solidFill>
                </w14:textFill>
              </w:rPr>
              <w:t>2022年8月29日-30日</w:t>
            </w:r>
            <w:r>
              <w:rPr>
                <w:rFonts w:hint="eastAsia"/>
                <w:color w:val="000000" w:themeColor="text1"/>
                <w:highlight w:val="none"/>
                <w14:textFill>
                  <w14:solidFill>
                    <w14:schemeClr w14:val="tx1"/>
                  </w14:solidFill>
                </w14:textFill>
              </w:rPr>
              <w:t>实施了质量管理体系内部审核，对质量管理体系的符合性和有效性进行了审核。内审发现的项不符</w:t>
            </w:r>
            <w:r>
              <w:rPr>
                <w:rFonts w:hint="eastAsia"/>
                <w:color w:val="000000" w:themeColor="text1"/>
                <w14:textFill>
                  <w14:solidFill>
                    <w14:schemeClr w14:val="tx1"/>
                  </w14:solidFill>
                </w14:textFill>
              </w:rPr>
              <w:t>合在本次审核前已完成整改。在公司内完成的这些审核是可信的。</w:t>
            </w:r>
          </w:p>
          <w:p>
            <w:pPr>
              <w:shd w:val="clear" w:color="auto" w:fill="C7DAF1" w:themeFill="text2" w:themeFillTint="32"/>
              <w:rPr>
                <w:color w:val="000000" w:themeColor="text1"/>
                <w14:textFill>
                  <w14:solidFill>
                    <w14:schemeClr w14:val="tx1"/>
                  </w14:solidFill>
                </w14:textFill>
              </w:rPr>
            </w:pPr>
          </w:p>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若是组织多场所/临时场所：（按照组织的实际情况选择）</w:t>
            </w:r>
          </w:p>
          <w:p>
            <w:pPr>
              <w:shd w:val="clear" w:color="auto" w:fill="C7DAF1" w:themeFill="text2" w:themeFillTint="32"/>
              <w:rPr>
                <w:color w:val="000000" w:themeColor="text1"/>
                <w14:textFill>
                  <w14:solidFill>
                    <w14:schemeClr w14:val="tx1"/>
                  </w14:solidFill>
                </w14:textFill>
              </w:rPr>
            </w:pPr>
            <w:r>
              <w:rPr>
                <w:rFonts w:hint="eastAsia" w:ascii="Wingdings" w:hAnsi="Wingdings"/>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内审贯穿了多场所/临时现场，内审的验证结论是正面的。管理者代表相应的职权覆盖了所有的场所。）</w:t>
            </w:r>
          </w:p>
          <w:p>
            <w:pPr>
              <w:shd w:val="clear" w:color="auto" w:fill="C7DAF1" w:themeFill="text2" w:themeFillTint="32"/>
              <w:rPr>
                <w:color w:val="000000" w:themeColor="text1"/>
                <w14:textFill>
                  <w14:solidFill>
                    <w14:schemeClr w14:val="tx1"/>
                  </w14:solidFill>
                </w14:textFill>
              </w:rPr>
            </w:pPr>
          </w:p>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若是多班次操作：（按照组织的实际情况选择）</w:t>
            </w:r>
          </w:p>
          <w:p>
            <w:pPr>
              <w:shd w:val="clear" w:color="auto" w:fill="C7DAF1" w:themeFill="text2" w:themeFillTint="32"/>
              <w:rPr>
                <w:color w:val="000000" w:themeColor="text1"/>
                <w14:textFill>
                  <w14:solidFill>
                    <w14:schemeClr w14:val="tx1"/>
                  </w14:solidFill>
                </w14:textFill>
              </w:rPr>
            </w:pPr>
            <w:r>
              <w:rPr>
                <w:rFonts w:hint="eastAsia" w:ascii="Wingdings" w:hAnsi="Wingdings"/>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对所有班次的现场操作已审核。</w:t>
            </w:r>
          </w:p>
          <w:p>
            <w:pPr>
              <w:shd w:val="clear" w:color="auto" w:fill="C7DAF1" w:themeFill="text2" w:themeFillTint="32"/>
              <w:rPr>
                <w:color w:val="000000" w:themeColor="text1"/>
                <w14:textFill>
                  <w14:solidFill>
                    <w14:schemeClr w14:val="tx1"/>
                  </w14:solidFill>
                </w14:textFill>
              </w:rPr>
            </w:pPr>
            <w:r>
              <w:rPr>
                <w:rFonts w:hint="eastAsia" w:ascii="Wingdings" w:hAnsi="Wingdings"/>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最高管理者已按策划的时间间隔，在</w:t>
            </w:r>
            <w:r>
              <w:rPr>
                <w:rFonts w:hint="eastAsia"/>
                <w:color w:val="000000" w:themeColor="text1"/>
                <w:highlight w:val="none"/>
                <w:u w:val="single"/>
                <w:lang w:eastAsia="zh-CN"/>
                <w14:textFill>
                  <w14:solidFill>
                    <w14:schemeClr w14:val="tx1"/>
                  </w14:solidFill>
                </w14:textFill>
              </w:rPr>
              <w:t>2022年9月15日</w:t>
            </w:r>
            <w:r>
              <w:rPr>
                <w:rFonts w:hint="eastAsia"/>
                <w:color w:val="000000" w:themeColor="text1"/>
                <w14:textFill>
                  <w14:solidFill>
                    <w14:schemeClr w14:val="tx1"/>
                  </w14:solidFill>
                </w14:textFill>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宋体" w:hAnsi="宋体" w:eastAsia="宋体" w:cs="宋体"/>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3</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价值观□文化</w:t>
                  </w:r>
                  <w:r>
                    <w:rPr>
                      <w:rFonts w:hint="eastAsia"/>
                      <w:lang w:eastAsia="zh-CN"/>
                    </w:rPr>
                    <w:t>■</w:t>
                  </w:r>
                  <w:r>
                    <w:rPr>
                      <w:rFonts w:hint="eastAsia"/>
                    </w:rPr>
                    <w:t>知识□绩效□工艺□设备</w:t>
                  </w:r>
                  <w:r>
                    <w:rPr>
                      <w:rFonts w:hint="eastAsia"/>
                      <w:lang w:eastAsia="zh-CN"/>
                    </w:rPr>
                    <w:t>■</w:t>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采购□人力资源</w:t>
            </w:r>
            <w:r>
              <w:rPr>
                <w:rFonts w:hint="eastAsia"/>
                <w:lang w:eastAsia="zh-CN"/>
              </w:rPr>
              <w:t>■</w:t>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最高管理者制定了文件化的管理体系方针：坚持走可持续发展之路，倡导绿色环保思想，遵守法律法规，从产品研发到服务的全过程中，实行污染预防和持续改进</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潜在</w:t>
                  </w:r>
                  <w:r>
                    <w:rPr>
                      <w:rFonts w:hint="eastAsia" w:asciiTheme="minorEastAsia" w:hAnsiTheme="minorEastAsia" w:eastAsiaTheme="minorEastAsia"/>
                      <w:b w:val="0"/>
                      <w:bCs w:val="0"/>
                      <w:sz w:val="21"/>
                      <w:szCs w:val="21"/>
                    </w:rPr>
                    <w:t>火灾</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固废排放</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能源消耗□资源消耗□废水排放□废气排放□粉尘排放□危废排放□噪声排放□危化品泄露□压力容器爆炸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环境目标</w:t>
                  </w:r>
                </w:p>
              </w:tc>
              <w:tc>
                <w:tcPr>
                  <w:tcW w:w="3136" w:type="dxa"/>
                  <w:shd w:val="clear" w:color="auto" w:fill="auto"/>
                </w:tcPr>
                <w:p>
                  <w:pPr>
                    <w:shd w:val="clear" w:color="auto" w:fill="EBF1DE" w:themeFill="accent3" w:themeFillTint="3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控制措施</w:t>
                  </w:r>
                </w:p>
              </w:tc>
              <w:tc>
                <w:tcPr>
                  <w:tcW w:w="1350" w:type="dxa"/>
                  <w:shd w:val="clear" w:color="auto" w:fill="auto"/>
                </w:tcPr>
                <w:p>
                  <w:pPr>
                    <w:shd w:val="clear" w:color="auto" w:fill="EBF1DE" w:themeFill="accent3" w:themeFillTint="3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责任部门</w:t>
                  </w:r>
                </w:p>
              </w:tc>
              <w:tc>
                <w:tcPr>
                  <w:tcW w:w="1774" w:type="dxa"/>
                  <w:shd w:val="clear" w:color="auto" w:fill="auto"/>
                </w:tcPr>
                <w:p>
                  <w:pPr>
                    <w:shd w:val="clear" w:color="auto" w:fill="EBF1DE" w:themeFill="accent3" w:themeFillTint="3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rPr>
                    <w:t>办公废弃物分类收集处理率≥98%</w:t>
                  </w:r>
                </w:p>
              </w:tc>
              <w:tc>
                <w:tcPr>
                  <w:tcW w:w="3136" w:type="dxa"/>
                  <w:shd w:val="clear" w:color="auto" w:fill="auto"/>
                  <w:vAlign w:val="center"/>
                </w:tcPr>
                <w:p>
                  <w:pPr>
                    <w:rPr>
                      <w:rFonts w:hint="eastAsia" w:ascii="Times New Roman" w:hAnsi="Times New Roman" w:eastAsia="宋体" w:cs="Times New Roman"/>
                      <w:b w:val="0"/>
                      <w:bCs/>
                      <w:sz w:val="21"/>
                      <w:szCs w:val="21"/>
                      <w:lang w:val="en-GB"/>
                    </w:rPr>
                  </w:pPr>
                  <w:r>
                    <w:rPr>
                      <w:rFonts w:hint="eastAsia" w:ascii="Times New Roman" w:hAnsi="Times New Roman" w:eastAsia="宋体" w:cs="Times New Roman"/>
                      <w:b w:val="0"/>
                      <w:bCs/>
                      <w:sz w:val="21"/>
                      <w:szCs w:val="21"/>
                      <w:lang w:val="en-GB"/>
                    </w:rPr>
                    <w:t>采取分类收集、管理方案进行管理</w:t>
                  </w:r>
                </w:p>
              </w:tc>
              <w:tc>
                <w:tcPr>
                  <w:tcW w:w="1350" w:type="dxa"/>
                  <w:shd w:val="clear" w:color="auto" w:fill="auto"/>
                  <w:vAlign w:val="center"/>
                </w:tcPr>
                <w:p>
                  <w:pPr>
                    <w:rPr>
                      <w:rFonts w:hint="eastAsia" w:ascii="Times New Roman" w:hAnsi="Times New Roman" w:eastAsia="宋体" w:cs="Times New Roman"/>
                      <w:b w:val="0"/>
                      <w:bCs/>
                      <w:sz w:val="21"/>
                      <w:szCs w:val="21"/>
                      <w:lang w:val="en-GB" w:eastAsia="zh-CN"/>
                    </w:rPr>
                  </w:pPr>
                  <w:r>
                    <w:rPr>
                      <w:rFonts w:hint="eastAsia" w:ascii="Times New Roman" w:hAnsi="Times New Roman" w:eastAsia="宋体" w:cs="Times New Roman"/>
                      <w:b w:val="0"/>
                      <w:bCs/>
                      <w:sz w:val="21"/>
                      <w:szCs w:val="21"/>
                      <w:lang w:val="en-GB" w:eastAsia="zh-CN"/>
                    </w:rPr>
                    <w:t>行政部</w:t>
                  </w:r>
                </w:p>
              </w:tc>
              <w:tc>
                <w:tcPr>
                  <w:tcW w:w="1774" w:type="dxa"/>
                  <w:shd w:val="clear" w:color="auto" w:fill="auto"/>
                  <w:vAlign w:val="center"/>
                </w:tcPr>
                <w:p>
                  <w:pPr>
                    <w:rPr>
                      <w:rFonts w:hint="default" w:ascii="Times New Roman" w:hAnsi="Times New Roman" w:eastAsia="宋体" w:cs="Times New Roman"/>
                      <w:b w:val="0"/>
                      <w:bCs/>
                      <w:sz w:val="21"/>
                      <w:szCs w:val="21"/>
                      <w:lang w:val="en-GB" w:eastAsia="zh-CN"/>
                    </w:rPr>
                  </w:pPr>
                  <w:r>
                    <w:rPr>
                      <w:rFonts w:hint="eastAsia" w:ascii="Times New Roman" w:hAnsi="Times New Roman" w:eastAsia="宋体" w:cs="Times New Roman"/>
                      <w:b w:val="0"/>
                      <w:bCs/>
                      <w:sz w:val="21"/>
                      <w:szCs w:val="21"/>
                      <w:lang w:val="en-US" w:eastAsia="zh-CN"/>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rPr>
                    <w:t>火灾事故为0</w:t>
                  </w:r>
                </w:p>
              </w:tc>
              <w:tc>
                <w:tcPr>
                  <w:tcW w:w="3136" w:type="dxa"/>
                  <w:shd w:val="clear" w:color="auto" w:fill="auto"/>
                  <w:vAlign w:val="center"/>
                </w:tcPr>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lang w:val="en-US" w:eastAsia="zh-CN"/>
                    </w:rPr>
                    <w:t>通过管理方案和预案措施、应急演练进行管理</w:t>
                  </w:r>
                </w:p>
              </w:tc>
              <w:tc>
                <w:tcPr>
                  <w:tcW w:w="1350" w:type="dxa"/>
                  <w:shd w:val="clear" w:color="auto" w:fill="auto"/>
                  <w:vAlign w:val="center"/>
                </w:tcPr>
                <w:p>
                  <w:pPr>
                    <w:rPr>
                      <w:rFonts w:hint="eastAsia" w:ascii="Times New Roman" w:hAnsi="Times New Roman" w:eastAsia="宋体" w:cs="Times New Roman"/>
                      <w:b w:val="0"/>
                      <w:bCs/>
                      <w:sz w:val="21"/>
                      <w:szCs w:val="21"/>
                      <w:lang w:eastAsia="zh-CN"/>
                    </w:rPr>
                  </w:pPr>
                  <w:r>
                    <w:rPr>
                      <w:rFonts w:hint="eastAsia" w:ascii="Times New Roman" w:hAnsi="Times New Roman" w:eastAsia="宋体" w:cs="Times New Roman"/>
                      <w:b w:val="0"/>
                      <w:bCs/>
                      <w:sz w:val="21"/>
                      <w:szCs w:val="21"/>
                      <w:lang w:eastAsia="zh-CN"/>
                    </w:rPr>
                    <w:t>行政部</w:t>
                  </w:r>
                </w:p>
              </w:tc>
              <w:tc>
                <w:tcPr>
                  <w:tcW w:w="1774" w:type="dxa"/>
                  <w:shd w:val="clear" w:color="auto" w:fill="auto"/>
                  <w:vAlign w:val="center"/>
                </w:tcPr>
                <w:p>
                  <w:pP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未发生火灾爆炸事故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rPr>
                    <w:t>环境扰民投诉为0</w:t>
                  </w:r>
                </w:p>
              </w:tc>
              <w:tc>
                <w:tcPr>
                  <w:tcW w:w="3136" w:type="dxa"/>
                  <w:shd w:val="clear" w:color="auto" w:fill="auto"/>
                  <w:vAlign w:val="center"/>
                </w:tcPr>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lang w:val="en-US" w:eastAsia="zh-CN"/>
                    </w:rPr>
                    <w:t>通过管理方案、环境检测进行管理</w:t>
                  </w:r>
                </w:p>
              </w:tc>
              <w:tc>
                <w:tcPr>
                  <w:tcW w:w="1350" w:type="dxa"/>
                  <w:shd w:val="clear" w:color="auto" w:fill="auto"/>
                  <w:vAlign w:val="center"/>
                </w:tcPr>
                <w:p>
                  <w:pPr>
                    <w:rPr>
                      <w:rFonts w:hint="eastAsia" w:ascii="Times New Roman" w:hAnsi="Times New Roman" w:eastAsia="宋体" w:cs="Times New Roman"/>
                      <w:b w:val="0"/>
                      <w:bCs/>
                      <w:sz w:val="21"/>
                      <w:szCs w:val="21"/>
                      <w:lang w:eastAsia="zh-CN"/>
                    </w:rPr>
                  </w:pPr>
                  <w:r>
                    <w:rPr>
                      <w:rFonts w:hint="eastAsia" w:ascii="Times New Roman" w:hAnsi="Times New Roman" w:eastAsia="宋体" w:cs="Times New Roman"/>
                      <w:b w:val="0"/>
                      <w:bCs/>
                      <w:sz w:val="21"/>
                      <w:szCs w:val="21"/>
                      <w:lang w:eastAsia="zh-CN"/>
                    </w:rPr>
                    <w:t>行政部</w:t>
                  </w:r>
                </w:p>
              </w:tc>
              <w:tc>
                <w:tcPr>
                  <w:tcW w:w="1774" w:type="dxa"/>
                  <w:shd w:val="clear" w:color="auto" w:fill="auto"/>
                  <w:vAlign w:val="center"/>
                </w:tcPr>
                <w:p>
                  <w:pPr>
                    <w:rPr>
                      <w:rFonts w:hint="eastAsia" w:ascii="Times New Roman" w:hAnsi="Times New Roman" w:eastAsia="宋体" w:cs="Times New Roman"/>
                      <w:b w:val="0"/>
                      <w:bCs/>
                      <w:sz w:val="21"/>
                      <w:szCs w:val="21"/>
                      <w:lang w:eastAsia="zh-CN"/>
                    </w:rPr>
                  </w:pPr>
                  <w:r>
                    <w:rPr>
                      <w:rFonts w:hint="eastAsia" w:ascii="Times New Roman" w:hAnsi="Times New Roman" w:eastAsia="宋体" w:cs="Times New Roman"/>
                      <w:b w:val="0"/>
                      <w:bCs/>
                      <w:sz w:val="21"/>
                      <w:szCs w:val="21"/>
                      <w:lang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建筑面积</w:t>
            </w:r>
            <w:r>
              <w:rPr>
                <w:rFonts w:hint="eastAsia"/>
                <w:color w:val="000000" w:themeColor="text1"/>
                <w:lang w:val="en-US" w:eastAsia="zh-CN"/>
                <w14:textFill>
                  <w14:solidFill>
                    <w14:schemeClr w14:val="tx1"/>
                  </w14:solidFill>
                </w14:textFill>
              </w:rPr>
              <w:t>200</w:t>
            </w:r>
            <w:r>
              <w:rPr>
                <w:rFonts w:hint="eastAsia"/>
                <w:color w:val="000000" w:themeColor="text1"/>
                <w14:textFill>
                  <w14:solidFill>
                    <w14:schemeClr w14:val="tx1"/>
                  </w14:solidFill>
                </w14:textFill>
              </w:rPr>
              <w:t>平方米；生产车间</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个；库房</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个；实验室</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个；</w:t>
            </w:r>
          </w:p>
          <w:p>
            <w:pPr>
              <w:shd w:val="clear" w:color="auto" w:fill="EBF1DE" w:themeFill="accent3" w:themeFillTint="32"/>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主要生产设备有：</w:t>
            </w:r>
            <w:r>
              <w:rPr>
                <w:rFonts w:hint="eastAsia"/>
                <w:color w:val="000000" w:themeColor="text1"/>
                <w:u w:val="single"/>
                <w14:textFill>
                  <w14:solidFill>
                    <w14:schemeClr w14:val="tx1"/>
                  </w14:solidFill>
                </w14:textFill>
              </w:rPr>
              <w:t>（电脑、打印机、设计开发软件、空调、办公桌等设施）</w:t>
            </w:r>
          </w:p>
          <w:p>
            <w:pPr>
              <w:shd w:val="clear" w:color="auto" w:fill="EBF1DE" w:themeFill="accent3" w:themeFillTint="32"/>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主要环保设备有：</w:t>
            </w:r>
            <w:r>
              <w:rPr>
                <w:rFonts w:hint="eastAsia"/>
                <w:color w:val="000000" w:themeColor="text1"/>
                <w:u w:val="single"/>
                <w14:textFill>
                  <w14:solidFill>
                    <w14:schemeClr w14:val="tx1"/>
                  </w14:solidFill>
                </w14:textFill>
              </w:rPr>
              <w:t>（</w:t>
            </w:r>
            <w:r>
              <w:rPr>
                <w:rFonts w:hint="eastAsia"/>
                <w:color w:val="000000" w:themeColor="text1"/>
                <w:u w:val="single"/>
                <w:lang w:eastAsia="zh-CN"/>
                <w14:textFill>
                  <w14:solidFill>
                    <w14:schemeClr w14:val="tx1"/>
                  </w14:solidFill>
                </w14:textFill>
              </w:rPr>
              <w:t>无</w:t>
            </w:r>
            <w:r>
              <w:rPr>
                <w:rFonts w:hint="eastAsia"/>
                <w:color w:val="000000" w:themeColor="text1"/>
                <w:u w:val="single"/>
                <w14:textFill>
                  <w14:solidFill>
                    <w14:schemeClr w14:val="tx1"/>
                  </w14:solidFill>
                </w14:textFill>
              </w:rPr>
              <w:t>）</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color w:val="000000" w:themeColor="text1"/>
                <w:highlight w:val="none"/>
                <w14:textFill>
                  <w14:solidFill>
                    <w14:schemeClr w14:val="tx1"/>
                  </w14:solidFill>
                </w14:textFill>
              </w:rPr>
            </w:pPr>
            <w:r>
              <w:rPr>
                <w:rFonts w:hint="eastAsia"/>
                <w:color w:val="000000" w:themeColor="text1"/>
                <w14:textFill>
                  <w14:solidFill>
                    <w14:schemeClr w14:val="tx1"/>
                  </w14:solidFill>
                </w14:textFill>
              </w:rPr>
              <w:t>组织建立、实施和保持了适当的设计和开发过程，以确保后续的产品和服务的提供中满足环境相关的法律法规。（适用时）</w:t>
            </w:r>
          </w:p>
          <w:p>
            <w:pPr>
              <w:shd w:val="clear" w:color="auto" w:fill="EBF1DE" w:themeFill="accent3" w:themeFillTint="32"/>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审核期间内，设计和开发新产品/项目名称：</w:t>
            </w:r>
            <w:r>
              <w:rPr>
                <w:rFonts w:hint="eastAsia"/>
                <w:color w:val="000000" w:themeColor="text1"/>
                <w:highlight w:val="none"/>
                <w:u w:val="single"/>
                <w:lang w:eastAsia="zh-CN"/>
                <w14:textFill>
                  <w14:solidFill>
                    <w14:schemeClr w14:val="tx1"/>
                  </w14:solidFill>
                </w14:textFill>
              </w:rPr>
              <w:t>高压开关柜防凝露系统（HybridC-01）</w:t>
            </w:r>
          </w:p>
          <w:p>
            <w:pPr>
              <w:shd w:val="clear" w:color="auto" w:fill="EBF1DE" w:themeFill="accent3"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对该设计和开发的项目对环境因素进行了识别和评价，并制订了控制措施。</w:t>
            </w:r>
          </w:p>
          <w:p>
            <w:pPr>
              <w:shd w:val="clear" w:color="auto" w:fill="EBF1DE" w:themeFill="accent3"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设计和开发的环境因素控制：</w:t>
            </w:r>
          </w:p>
          <w:p>
            <w:pPr>
              <w:shd w:val="clear" w:color="auto" w:fill="EBF1DE" w:themeFill="accent3" w:themeFillTint="32"/>
            </w:pPr>
            <w:r>
              <w:rPr>
                <w:rFonts w:hint="eastAsia" w:ascii="Wingdings" w:hAnsi="Wingdings"/>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符合要求</w:t>
            </w:r>
            <w:r>
              <w:rPr>
                <w:rFonts w:hint="eastAsia" w:ascii="Wingdings" w:hAnsi="Wingdings"/>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highlight w:val="none"/>
                <w:u w:val="single"/>
                <w:lang w:eastAsia="zh-CN"/>
              </w:rPr>
              <w:t>2022年8月15日</w:t>
            </w:r>
            <w:r>
              <w:rPr>
                <w:rFonts w:hint="eastAsia"/>
                <w:color w:val="000000" w:themeColor="text1"/>
                <w14:textFill>
                  <w14:solidFill>
                    <w14:schemeClr w14:val="tx1"/>
                  </w14:solidFill>
                </w14:textFill>
              </w:rPr>
              <w:t>进行了的演练；</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color w:val="000000" w:themeColor="text1"/>
                <w14:textFill>
                  <w14:solidFill>
                    <w14:schemeClr w14:val="tx1"/>
                  </w14:solidFill>
                </w14:textFill>
              </w:rPr>
            </w:pPr>
            <w:r>
              <w:rPr>
                <w:rFonts w:hint="eastAsia"/>
              </w:rPr>
              <w:t>实施合</w:t>
            </w:r>
            <w:r>
              <w:rPr>
                <w:rFonts w:hint="eastAsia"/>
                <w:color w:val="000000" w:themeColor="text1"/>
                <w14:textFill>
                  <w14:solidFill>
                    <w14:schemeClr w14:val="tx1"/>
                  </w14:solidFill>
                </w14:textFill>
              </w:rPr>
              <w:t>规性评价的时间：</w:t>
            </w:r>
          </w:p>
          <w:p>
            <w:pPr>
              <w:shd w:val="clear" w:color="auto" w:fill="EBF1DE" w:themeFill="accent3" w:themeFillTint="32"/>
              <w:rPr>
                <w:rFonts w:hint="eastAsia" w:eastAsia="宋体"/>
                <w:color w:val="000000" w:themeColor="text1"/>
                <w:lang w:eastAsia="zh-CN"/>
                <w14:textFill>
                  <w14:solidFill>
                    <w14:schemeClr w14:val="tx1"/>
                  </w14:solidFill>
                </w14:textFill>
              </w:rPr>
            </w:pPr>
            <w:r>
              <w:rPr>
                <w:rFonts w:hint="eastAsia" w:ascii="Wingdings" w:hAnsi="Wingdings"/>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定期（</w:t>
            </w:r>
            <w:r>
              <w:rPr>
                <w:rFonts w:hint="eastAsia"/>
                <w:color w:val="000000" w:themeColor="text1"/>
                <w:highlight w:val="none"/>
                <w14:textFill>
                  <w14:solidFill>
                    <w14:schemeClr w14:val="tx1"/>
                  </w14:solidFill>
                </w14:textFill>
              </w:rPr>
              <w:t>每年）：</w:t>
            </w:r>
            <w:r>
              <w:rPr>
                <w:rFonts w:hint="eastAsia"/>
                <w:color w:val="000000" w:themeColor="text1"/>
                <w:highlight w:val="none"/>
                <w:u w:val="single"/>
                <w:lang w:eastAsia="zh-CN"/>
                <w14:textFill>
                  <w14:solidFill>
                    <w14:schemeClr w14:val="tx1"/>
                  </w14:solidFill>
                </w14:textFill>
              </w:rPr>
              <w:t>2022年8月30日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w:t>
            </w:r>
            <w:r>
              <w:rPr>
                <w:rFonts w:hint="eastAsia"/>
                <w:color w:val="000000" w:themeColor="text1"/>
                <w:highlight w:val="none"/>
                <w14:textFill>
                  <w14:solidFill>
                    <w14:schemeClr w14:val="tx1"/>
                  </w14:solidFill>
                </w14:textFill>
              </w:rPr>
              <w:t>策划于</w:t>
            </w:r>
            <w:r>
              <w:rPr>
                <w:rFonts w:hint="eastAsia"/>
                <w:color w:val="000000" w:themeColor="text1"/>
                <w:highlight w:val="none"/>
                <w:u w:val="single"/>
                <w:lang w:val="en-US" w:eastAsia="zh-CN"/>
                <w14:textFill>
                  <w14:solidFill>
                    <w14:schemeClr w14:val="tx1"/>
                  </w14:solidFill>
                </w14:textFill>
              </w:rPr>
              <w:t>2022年8月29日-30日</w:t>
            </w:r>
            <w:r>
              <w:rPr>
                <w:rFonts w:hint="eastAsia"/>
                <w:color w:val="000000" w:themeColor="text1"/>
                <w:highlight w:val="none"/>
                <w14:textFill>
                  <w14:solidFill>
                    <w14:schemeClr w14:val="tx1"/>
                  </w14:solidFill>
                </w14:textFill>
              </w:rPr>
              <w:t>实施了</w:t>
            </w:r>
            <w:r>
              <w:rPr>
                <w:rFonts w:hint="eastAsia"/>
                <w:highlight w:val="none"/>
              </w:rPr>
              <w:t>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最高管理者已按策划的</w:t>
            </w:r>
            <w:r>
              <w:rPr>
                <w:rFonts w:hint="eastAsia"/>
                <w:color w:val="000000" w:themeColor="text1"/>
                <w:highlight w:val="none"/>
                <w14:textFill>
                  <w14:solidFill>
                    <w14:schemeClr w14:val="tx1"/>
                  </w14:solidFill>
                </w14:textFill>
              </w:rPr>
              <w:t>时间间隔，在</w:t>
            </w:r>
            <w:r>
              <w:rPr>
                <w:rFonts w:hint="eastAsia"/>
                <w:color w:val="000000" w:themeColor="text1"/>
                <w:highlight w:val="none"/>
                <w:u w:val="single"/>
                <w:lang w:val="en-US" w:eastAsia="zh-CN"/>
                <w14:textFill>
                  <w14:solidFill>
                    <w14:schemeClr w14:val="tx1"/>
                  </w14:solidFill>
                </w14:textFill>
              </w:rPr>
              <w:t>2022年9月15日</w:t>
            </w:r>
            <w:r>
              <w:rPr>
                <w:rFonts w:hint="eastAsia"/>
                <w:color w:val="000000" w:themeColor="text1"/>
                <w:highlight w:val="none"/>
                <w14:textFill>
                  <w14:solidFill>
                    <w14:schemeClr w14:val="tx1"/>
                  </w14:solidFill>
                </w14:textFill>
              </w:rPr>
              <w:t>对组织的环境管理体系进行了评审，以确保其持续的适宜性、充分性和有效性；管理评审输入、输出均</w:t>
            </w:r>
            <w:r>
              <w:rPr>
                <w:rFonts w:hint="eastAsia"/>
                <w:highlight w:val="none"/>
              </w:rPr>
              <w:t>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宋体" w:hAnsi="宋体" w:eastAsia="宋体" w:cs="宋体"/>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宋体" w:hAnsi="宋体" w:eastAsia="宋体" w:cs="宋体"/>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rFonts w:hint="eastAsia"/>
                <w:lang w:val="en-US" w:eastAsia="zh-CN"/>
              </w:rPr>
              <w:t>OHS</w:t>
            </w:r>
            <w:r>
              <w:rPr>
                <w:rFonts w:hint="eastAsia"/>
              </w:rPr>
              <w:t>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价值观□文化□知识□绩效□工艺□设备</w:t>
                  </w:r>
                  <w:r>
                    <w:rPr>
                      <w:rFonts w:hint="eastAsia"/>
                      <w:lang w:eastAsia="zh-CN"/>
                    </w:rPr>
                    <w:t>■</w:t>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最高管理者制定了文件化的职业健康安全管理体系方针：保障健康、安全研发、以人为本、永续发展、遵守法规、持续改进</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行政部</w:t>
            </w:r>
          </w:p>
          <w:p>
            <w:pPr>
              <w:rPr>
                <w:rFonts w:hint="eastAsia" w:eastAsia="宋体"/>
                <w:lang w:eastAsia="zh-CN"/>
              </w:rPr>
            </w:pPr>
            <w:r>
              <w:rPr>
                <w:rFonts w:hint="eastAsia"/>
              </w:rPr>
              <w:t>安全的主管部门是——</w:t>
            </w:r>
            <w:r>
              <w:rPr>
                <w:rFonts w:hint="eastAsia"/>
                <w:lang w:eastAsia="zh-CN"/>
              </w:rPr>
              <w:t>研发部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highlight w:val="none"/>
              </w:rPr>
              <w:t>周敏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火灾</w:t>
                  </w:r>
                </w:p>
              </w:tc>
              <w:tc>
                <w:tcPr>
                  <w:tcW w:w="3965" w:type="dxa"/>
                  <w:vAlign w:val="top"/>
                </w:tcPr>
                <w:p>
                  <w:pPr>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kern w:val="2"/>
                      <w:sz w:val="21"/>
                      <w:szCs w:val="24"/>
                      <w:lang w:val="en-US" w:eastAsia="zh-CN" w:bidi="ar-SA"/>
                    </w:rPr>
                  </w:pPr>
                  <w:r>
                    <w:rPr>
                      <w:rFonts w:hint="eastAsia" w:ascii="宋体" w:hAnsi="宋体" w:eastAsia="宋体" w:cs="宋体"/>
                      <w:szCs w:val="21"/>
                      <w:lang w:eastAsia="zh-CN"/>
                    </w:rPr>
                    <w:t>触电</w:t>
                  </w:r>
                </w:p>
              </w:tc>
              <w:tc>
                <w:tcPr>
                  <w:tcW w:w="3965" w:type="dxa"/>
                  <w:vAlign w:val="top"/>
                </w:tcPr>
                <w:p>
                  <w:pPr>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lang w:eastAsia="zh-CN"/>
              </w:rPr>
              <w:t>■</w:t>
            </w:r>
            <w:r>
              <w:rPr>
                <w:rFonts w:hint="eastAsia"/>
              </w:rPr>
              <w:t>漏电保护□穿戴劳保用品□作业票管理□挂牌上锁管理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lang w:val="en-GB"/>
                    </w:rPr>
                  </w:pPr>
                </w:p>
              </w:tc>
              <w:tc>
                <w:tcPr>
                  <w:tcW w:w="1350" w:type="dxa"/>
                  <w:shd w:val="clear" w:color="auto" w:fill="auto"/>
                  <w:vAlign w:val="center"/>
                </w:tcPr>
                <w:p>
                  <w:pPr>
                    <w:rPr>
                      <w:lang w:val="en-GB"/>
                    </w:rPr>
                  </w:pPr>
                </w:p>
              </w:tc>
              <w:tc>
                <w:tcPr>
                  <w:tcW w:w="1774" w:type="dxa"/>
                  <w:shd w:val="clear" w:color="auto" w:fill="auto"/>
                  <w:vAlign w:val="center"/>
                </w:tcPr>
                <w:p>
                  <w:pPr>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组织应确定、提供并维护所需的基础设施情况：</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建筑面积</w:t>
            </w:r>
            <w:r>
              <w:rPr>
                <w:rFonts w:hint="eastAsia"/>
                <w:color w:val="000000" w:themeColor="text1"/>
                <w:lang w:val="en-US" w:eastAsia="zh-CN"/>
                <w14:textFill>
                  <w14:solidFill>
                    <w14:schemeClr w14:val="tx1"/>
                  </w14:solidFill>
                </w14:textFill>
              </w:rPr>
              <w:t>200</w:t>
            </w:r>
            <w:r>
              <w:rPr>
                <w:rFonts w:hint="eastAsia"/>
                <w:color w:val="000000" w:themeColor="text1"/>
                <w14:textFill>
                  <w14:solidFill>
                    <w14:schemeClr w14:val="tx1"/>
                  </w14:solidFill>
                </w14:textFill>
              </w:rPr>
              <w:t>平方米；生产车间</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个；库房</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个；实验室</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个；</w:t>
            </w:r>
          </w:p>
          <w:p>
            <w:pPr>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主要生产设备有：</w:t>
            </w:r>
            <w:r>
              <w:rPr>
                <w:rFonts w:hint="eastAsia"/>
                <w:color w:val="000000" w:themeColor="text1"/>
                <w:u w:val="single"/>
                <w14:textFill>
                  <w14:solidFill>
                    <w14:schemeClr w14:val="tx1"/>
                  </w14:solidFill>
                </w14:textFill>
              </w:rPr>
              <w:t>（</w:t>
            </w:r>
            <w:r>
              <w:rPr>
                <w:rFonts w:hint="eastAsia"/>
                <w:color w:val="000000" w:themeColor="text1"/>
                <w:u w:val="single"/>
                <w:lang w:eastAsia="zh-CN"/>
                <w14:textFill>
                  <w14:solidFill>
                    <w14:schemeClr w14:val="tx1"/>
                  </w14:solidFill>
                </w14:textFill>
              </w:rPr>
              <w:t>电脑、打印机、开发软件等办公设备</w:t>
            </w:r>
            <w:r>
              <w:rPr>
                <w:rFonts w:hint="eastAsia"/>
                <w:color w:val="000000" w:themeColor="text1"/>
                <w:u w:val="single"/>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bookmarkStart w:id="33" w:name="_GoBack" w:colFirst="1" w:colLast="1"/>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组织建立、实施和保持了适当的设计和开发过程，以确保后续的产品和服务的提供中满足职业健康安全相关的法律法规。（适用时）</w:t>
            </w:r>
          </w:p>
          <w:p>
            <w:pP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审核期间内，设计和开发新产品/项目名称：</w:t>
            </w:r>
            <w:r>
              <w:rPr>
                <w:rFonts w:hint="eastAsia"/>
                <w:color w:val="000000" w:themeColor="text1"/>
                <w:highlight w:val="none"/>
                <w:u w:val="single"/>
                <w:lang w:eastAsia="zh-CN"/>
                <w14:textFill>
                  <w14:solidFill>
                    <w14:schemeClr w14:val="tx1"/>
                  </w14:solidFill>
                </w14:textFill>
              </w:rPr>
              <w:t>高压开关柜防凝露系统（HybridC-01）</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对该设计和开发的项目对职业健康安全风险进行了识别和评价，并制订了控制措施。</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设计和开发的环境因素控制：</w:t>
            </w:r>
          </w:p>
          <w:p>
            <w:pPr>
              <w:rPr>
                <w:highlight w:val="none"/>
              </w:rPr>
            </w:pPr>
            <w:r>
              <w:rPr>
                <w:rFonts w:hint="eastAsia" w:ascii="Wingdings" w:hAnsi="Wingdings"/>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符合要求</w:t>
            </w:r>
            <w:r>
              <w:rPr>
                <w:rFonts w:hint="eastAsia" w:ascii="Wingdings" w:hAnsi="Wingdings"/>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存在不足，说明。</w:t>
            </w:r>
          </w:p>
        </w:tc>
      </w:tr>
      <w:bookmark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应急预案与管理方案执行</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pPr>
              <w:rPr>
                <w:highlight w:val="none"/>
              </w:rPr>
            </w:pPr>
            <w:r>
              <w:rPr>
                <w:rFonts w:hint="eastAsia"/>
              </w:rPr>
              <w:t>制订的应急预案包括：</w:t>
            </w:r>
          </w:p>
          <w:p>
            <w:pPr>
              <w:rPr>
                <w:highlight w:val="none"/>
              </w:rPr>
            </w:pPr>
            <w:r>
              <w:rPr>
                <w:rFonts w:hint="eastAsia" w:ascii="Wingdings" w:hAnsi="Wingdings"/>
                <w:highlight w:val="none"/>
                <w:lang w:eastAsia="zh-CN"/>
              </w:rPr>
              <w:t>■</w:t>
            </w:r>
            <w:r>
              <w:rPr>
                <w:rFonts w:hint="eastAsia"/>
                <w:highlight w:val="none"/>
              </w:rPr>
              <w:t>火灾控制</w:t>
            </w:r>
            <w:r>
              <w:rPr>
                <w:rFonts w:hint="eastAsia" w:ascii="Wingdings" w:hAnsi="Wingdings"/>
                <w:highlight w:val="none"/>
                <w:lang w:eastAsia="zh-CN"/>
              </w:rPr>
              <w:t>□</w:t>
            </w:r>
            <w:r>
              <w:rPr>
                <w:rFonts w:hint="eastAsia"/>
                <w:highlight w:val="none"/>
              </w:rPr>
              <w:t>危化品泄露</w:t>
            </w:r>
            <w:r>
              <w:rPr>
                <w:rFonts w:hint="eastAsia" w:ascii="Wingdings" w:hAnsi="Wingdings"/>
                <w:highlight w:val="none"/>
                <w:lang w:eastAsia="zh-CN"/>
              </w:rPr>
              <w:t>□</w:t>
            </w:r>
            <w:r>
              <w:rPr>
                <w:rFonts w:hint="eastAsia"/>
                <w:highlight w:val="none"/>
              </w:rPr>
              <w:t>锅炉爆炸</w:t>
            </w:r>
            <w:r>
              <w:rPr>
                <w:rFonts w:hint="eastAsia" w:ascii="Wingdings" w:hAnsi="Wingdings"/>
                <w:highlight w:val="none"/>
                <w:lang w:eastAsia="zh-CN"/>
              </w:rPr>
              <w:t>□</w:t>
            </w:r>
            <w:r>
              <w:rPr>
                <w:rFonts w:hint="eastAsia"/>
                <w:highlight w:val="none"/>
              </w:rPr>
              <w:t>设备故障</w:t>
            </w:r>
            <w:r>
              <w:rPr>
                <w:rFonts w:hint="eastAsia" w:ascii="Wingdings" w:hAnsi="Wingdings"/>
                <w:highlight w:val="none"/>
                <w:lang w:eastAsia="zh-CN"/>
              </w:rPr>
              <w:t>□</w:t>
            </w:r>
            <w:r>
              <w:rPr>
                <w:rFonts w:hint="eastAsia"/>
                <w:highlight w:val="none"/>
              </w:rPr>
              <w:t>停水停电</w:t>
            </w:r>
            <w:r>
              <w:rPr>
                <w:rFonts w:hint="eastAsia" w:ascii="Wingdings" w:hAnsi="Wingdings"/>
                <w:highlight w:val="none"/>
                <w:lang w:eastAsia="zh-CN"/>
              </w:rPr>
              <w:t>□</w:t>
            </w:r>
            <w:r>
              <w:rPr>
                <w:rFonts w:hint="eastAsia"/>
                <w:highlight w:val="none"/>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未发生</w:t>
            </w:r>
            <w:r>
              <w:rPr>
                <w:rFonts w:hint="eastAsia" w:ascii="Wingdings" w:hAnsi="Wingdings"/>
                <w:highlight w:val="none"/>
                <w:lang w:eastAsia="zh-CN"/>
              </w:rPr>
              <w:t>□</w:t>
            </w:r>
            <w:r>
              <w:rPr>
                <w:rFonts w:hint="eastAsia"/>
                <w:highlight w:val="none"/>
              </w:rPr>
              <w:t>已发生：。</w:t>
            </w:r>
          </w:p>
          <w:p>
            <w:pPr>
              <w:rPr>
                <w:highlight w:val="none"/>
              </w:rPr>
            </w:pPr>
          </w:p>
          <w:p>
            <w:r>
              <w:rPr>
                <w:rFonts w:hint="eastAsia"/>
                <w:color w:val="000000" w:themeColor="text1"/>
                <w:highlight w:val="none"/>
                <w14:textFill>
                  <w14:solidFill>
                    <w14:schemeClr w14:val="tx1"/>
                  </w14:solidFill>
                </w14:textFill>
              </w:rPr>
              <w:t>于</w:t>
            </w:r>
            <w:r>
              <w:rPr>
                <w:rFonts w:hint="eastAsia"/>
                <w:color w:val="000000" w:themeColor="text1"/>
                <w:highlight w:val="none"/>
                <w:u w:val="single"/>
                <w:lang w:val="en-US" w:eastAsia="zh-CN"/>
                <w14:textFill>
                  <w14:solidFill>
                    <w14:schemeClr w14:val="tx1"/>
                  </w14:solidFill>
                </w14:textFill>
              </w:rPr>
              <w:t>2022年8月15日</w:t>
            </w:r>
            <w:r>
              <w:rPr>
                <w:rFonts w:hint="eastAsia"/>
                <w:color w:val="000000" w:themeColor="text1"/>
                <w:highlight w:val="none"/>
                <w14:textFill>
                  <w14:solidFill>
                    <w14:schemeClr w14:val="tx1"/>
                  </w14:solidFill>
                </w14:textFill>
              </w:rPr>
              <w:t>进行了</w:t>
            </w:r>
            <w:r>
              <w:rPr>
                <w:rFonts w:hint="eastAsia"/>
                <w:color w:val="000000" w:themeColor="text1"/>
                <w14:textFill>
                  <w14:solidFill>
                    <w14:schemeClr w14:val="tx1"/>
                  </w14:solidFill>
                </w14:textFill>
              </w:rPr>
              <w:t>的</w:t>
            </w:r>
            <w:r>
              <w:rPr>
                <w:rFonts w:hint="eastAsia"/>
              </w:rPr>
              <w:t>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color w:val="000000" w:themeColor="text1"/>
                <w14:textFill>
                  <w14:solidFill>
                    <w14:schemeClr w14:val="tx1"/>
                  </w14:solidFill>
                </w14:textFill>
              </w:rPr>
            </w:pPr>
            <w:r>
              <w:rPr>
                <w:rFonts w:hint="eastAsia"/>
              </w:rPr>
              <w:t>实施合规性评</w:t>
            </w:r>
            <w:r>
              <w:rPr>
                <w:rFonts w:hint="eastAsia"/>
                <w:color w:val="000000" w:themeColor="text1"/>
                <w14:textFill>
                  <w14:solidFill>
                    <w14:schemeClr w14:val="tx1"/>
                  </w14:solidFill>
                </w14:textFill>
              </w:rPr>
              <w:t>价的时间：</w:t>
            </w:r>
          </w:p>
          <w:p>
            <w:pPr>
              <w:rPr>
                <w:color w:val="000000" w:themeColor="text1"/>
                <w14:textFill>
                  <w14:solidFill>
                    <w14:schemeClr w14:val="tx1"/>
                  </w14:solidFill>
                </w14:textFill>
              </w:rPr>
            </w:pPr>
            <w:r>
              <w:rPr>
                <w:rFonts w:hint="eastAsia" w:ascii="Wingdings" w:hAnsi="Wingdings"/>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定期（每年）：</w:t>
            </w:r>
            <w:r>
              <w:rPr>
                <w:rFonts w:hint="eastAsia"/>
                <w:color w:val="000000" w:themeColor="text1"/>
                <w:u w:val="single"/>
                <w:lang w:val="en-US" w:eastAsia="zh-CN"/>
                <w14:textFill>
                  <w14:solidFill>
                    <w14:schemeClr w14:val="tx1"/>
                  </w14:solidFill>
                </w14:textFill>
              </w:rPr>
              <w:t>2022年8月30日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14:textFill>
                  <w14:solidFill>
                    <w14:schemeClr w14:val="tx1"/>
                  </w14:solidFill>
                </w14:textFill>
              </w:rPr>
            </w:pPr>
            <w:r>
              <w:rPr>
                <w:rFonts w:hint="eastAsia"/>
              </w:rPr>
              <w:t>组织已</w:t>
            </w:r>
            <w:r>
              <w:rPr>
                <w:rFonts w:hint="eastAsia"/>
              </w:rPr>
              <w:fldChar w:fldCharType="begin"/>
            </w:r>
            <w:r>
              <w:rPr>
                <w:rFonts w:hint="eastAsia"/>
              </w:rPr>
              <w:fldChar w:fldCharType="end"/>
            </w:r>
            <w:r>
              <w:rPr>
                <w:rFonts w:hint="eastAsia"/>
              </w:rPr>
              <w:t>通过年</w:t>
            </w:r>
            <w:r>
              <w:rPr>
                <w:rFonts w:hint="eastAsia"/>
                <w:color w:val="000000" w:themeColor="text1"/>
                <w14:textFill>
                  <w14:solidFill>
                    <w14:schemeClr w14:val="tx1"/>
                  </w14:solidFill>
                </w14:textFill>
              </w:rPr>
              <w:t>度策划于</w:t>
            </w:r>
            <w:r>
              <w:rPr>
                <w:rFonts w:hint="eastAsia"/>
                <w:color w:val="000000" w:themeColor="text1"/>
                <w:u w:val="single"/>
                <w:lang w:val="en-US" w:eastAsia="zh-CN"/>
                <w14:textFill>
                  <w14:solidFill>
                    <w14:schemeClr w14:val="tx1"/>
                  </w14:solidFill>
                </w14:textFill>
              </w:rPr>
              <w:t>2022年8月29日-30日</w:t>
            </w:r>
            <w:r>
              <w:rPr>
                <w:rFonts w:hint="eastAsia"/>
                <w:color w:val="000000" w:themeColor="text1"/>
                <w14:textFill>
                  <w14:solidFill>
                    <w14:schemeClr w14:val="tx1"/>
                  </w14:solidFill>
                </w14:textFill>
              </w:rPr>
              <w:t>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最高管</w:t>
            </w:r>
            <w:r>
              <w:rPr>
                <w:rFonts w:hint="eastAsia"/>
                <w:color w:val="000000" w:themeColor="text1"/>
                <w:highlight w:val="none"/>
                <w14:textFill>
                  <w14:solidFill>
                    <w14:schemeClr w14:val="tx1"/>
                  </w14:solidFill>
                </w14:textFill>
              </w:rPr>
              <w:t>理者已按策划的时间间隔，在</w:t>
            </w:r>
            <w:r>
              <w:rPr>
                <w:rFonts w:hint="eastAsia"/>
                <w:color w:val="000000" w:themeColor="text1"/>
                <w:highlight w:val="none"/>
                <w:u w:val="single"/>
                <w:lang w:val="en-US" w:eastAsia="zh-CN"/>
                <w14:textFill>
                  <w14:solidFill>
                    <w14:schemeClr w14:val="tx1"/>
                  </w14:solidFill>
                </w14:textFill>
              </w:rPr>
              <w:t>2022年9月15日</w:t>
            </w:r>
            <w:r>
              <w:rPr>
                <w:rFonts w:hint="eastAsia"/>
                <w:color w:val="000000" w:themeColor="text1"/>
                <w:highlight w:val="none"/>
                <w14:textFill>
                  <w14:solidFill>
                    <w14:schemeClr w14:val="tx1"/>
                  </w14:solidFill>
                </w14:textFill>
              </w:rPr>
              <w:t>对组织的职业健康安全管理体系进行了评审，以确保其持续的适宜性、充分性和有效性；管理评审输入、输出均按要求提供。并对提出的改进措施进行了落实。</w:t>
            </w:r>
          </w:p>
          <w:p>
            <w:pPr>
              <w:rPr>
                <w:highlight w:val="none"/>
              </w:rPr>
            </w:pPr>
          </w:p>
          <w:p>
            <w:pPr>
              <w:rPr>
                <w:highlight w:val="none"/>
              </w:rPr>
            </w:pPr>
            <w:r>
              <w:rPr>
                <w:rFonts w:hint="eastAsia"/>
                <w:highlight w:val="none"/>
              </w:rPr>
              <w:t>组织将管理评审的改进措施的信息沟通给：</w:t>
            </w:r>
            <w:r>
              <w:rPr>
                <w:rFonts w:hint="eastAsia" w:ascii="Wingdings" w:hAnsi="Wingdings"/>
                <w:highlight w:val="none"/>
                <w:lang w:eastAsia="zh-CN"/>
              </w:rPr>
              <w:t>■</w:t>
            </w:r>
            <w:r>
              <w:rPr>
                <w:rFonts w:hint="eastAsia"/>
                <w:highlight w:val="none"/>
              </w:rPr>
              <w:t>相关的工作人员</w:t>
            </w:r>
            <w:r>
              <w:rPr>
                <w:rFonts w:hint="eastAsia" w:ascii="Wingdings" w:hAnsi="Wingdings"/>
                <w:highlight w:val="none"/>
                <w:lang w:eastAsia="zh-CN"/>
              </w:rPr>
              <w:t>■</w:t>
            </w:r>
            <w:r>
              <w:rPr>
                <w:rFonts w:hint="eastAsia"/>
                <w:highlight w:val="none"/>
              </w:rPr>
              <w:t>员工代表</w:t>
            </w:r>
            <w:r>
              <w:rPr>
                <w:rFonts w:hint="eastAsia" w:ascii="Wingdings" w:hAnsi="Wingdings"/>
                <w:highlight w:val="none"/>
                <w:lang w:eastAsia="zh-CN"/>
              </w:rPr>
              <w:t>■</w:t>
            </w:r>
            <w:r>
              <w:rPr>
                <w:rFonts w:hint="eastAsia"/>
                <w:highlight w:val="none"/>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5071745</wp:posOffset>
              </wp:positionH>
              <wp:positionV relativeFrom="paragraph">
                <wp:posOffset>123190</wp:posOffset>
              </wp:positionV>
              <wp:extent cx="1249680" cy="256540"/>
              <wp:effectExtent l="0" t="0" r="7620" b="10160"/>
              <wp:wrapNone/>
              <wp:docPr id="2" name="文本框 1"/>
              <wp:cNvGraphicFramePr/>
              <a:graphic xmlns:a="http://schemas.openxmlformats.org/drawingml/2006/main">
                <a:graphicData uri="http://schemas.microsoft.com/office/word/2010/wordprocessingShape">
                  <wps:wsp>
                    <wps:cNvSpPr txBox="1"/>
                    <wps:spPr>
                      <a:xfrm>
                        <a:off x="0" y="0"/>
                        <a:ext cx="1249680" cy="256540"/>
                      </a:xfrm>
                      <a:prstGeom prst="rect">
                        <a:avLst/>
                      </a:prstGeom>
                      <a:solidFill>
                        <a:srgbClr val="FFFFFF"/>
                      </a:solidFill>
                      <a:ln>
                        <a:noFill/>
                      </a:ln>
                    </wps:spPr>
                    <wps:txb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wps:txbx>
                    <wps:bodyPr upright="1"/>
                  </wps:wsp>
                </a:graphicData>
              </a:graphic>
            </wp:anchor>
          </w:drawing>
        </mc:Choice>
        <mc:Fallback>
          <w:pict>
            <v:shape id="文本框 1" o:spid="_x0000_s1026" o:spt="202" type="#_x0000_t202" style="position:absolute;left:0pt;margin-left:399.35pt;margin-top:9.7pt;height:20.2pt;width:98.4pt;z-index:251659264;mso-width-relative:page;mso-height-relative:page;" fillcolor="#FFFFFF" filled="t" stroked="f" coordsize="21600,21600" o:gfxdata="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r5ivd1wAAAAkBAAAPAAAAAAAAAAEAIAAAACIAAABkcnMvZG93bnJldi54&#10;bWxQSwECFAAUAAAACACHTuJAvVAYc8IBAAB3AwAADgAAAAAAAAABACAAAAAmAQAAZHJzL2Uyb0Rv&#10;Yy54bWxQSwUGAAAAAAYABgBZAQAAWgUAAAAA&#10;">
              <v:fill on="t" focussize="0,0"/>
              <v:stroke on="f"/>
              <v:imagedata o:title=""/>
              <o:lock v:ext="edit" aspectratio="f"/>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mc:Fallback>
      </mc:AlternateConten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Y2I4MGM4MDY5MTkxYTc1OWQ2YWJkMDM4MmZjZTIifQ=="/>
  </w:docVars>
  <w:rsids>
    <w:rsidRoot w:val="00000000"/>
    <w:rsid w:val="2EF82EB8"/>
    <w:rsid w:val="32150675"/>
    <w:rsid w:val="489E07C5"/>
    <w:rsid w:val="531C52C4"/>
    <w:rsid w:val="5E43733C"/>
    <w:rsid w:val="711D1F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0"/>
    <w:pPr>
      <w:ind w:firstLine="420"/>
    </w:pPr>
    <w:rPr>
      <w:szCs w:val="20"/>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19776</Words>
  <Characters>20956</Characters>
  <Lines>150</Lines>
  <Paragraphs>42</Paragraphs>
  <TotalTime>7</TotalTime>
  <ScaleCrop>false</ScaleCrop>
  <LinksUpToDate>false</LinksUpToDate>
  <CharactersWithSpaces>21088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2022-10-19T07:29:09Z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2052-11.1.0.12598</vt:lpwstr>
  </property>
</Properties>
</file>