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952"/>
        <w:gridCol w:w="1180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7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590" w:type="dxa"/>
            <w:vAlign w:val="center"/>
          </w:tcPr>
          <w:p>
            <w:pPr>
              <w:rPr>
                <w:rFonts w:hint="default"/>
                <w:sz w:val="24"/>
                <w:szCs w:val="24"/>
                <w:lang w:val="en-US"/>
              </w:rPr>
            </w:pPr>
            <w:r>
              <w:rPr>
                <w:rFonts w:hint="eastAsia"/>
                <w:sz w:val="24"/>
                <w:szCs w:val="24"/>
              </w:rPr>
              <w:t>受审核部门：</w:t>
            </w:r>
            <w:r>
              <w:rPr>
                <w:rFonts w:hint="eastAsia" w:ascii="宋体" w:hAnsi="宋体" w:cs="Arial"/>
                <w:szCs w:val="21"/>
                <w:lang w:eastAsia="zh-CN"/>
              </w:rPr>
              <w:t>服务部</w:t>
            </w:r>
            <w:r>
              <w:rPr>
                <w:rFonts w:hint="eastAsia"/>
                <w:sz w:val="24"/>
                <w:szCs w:val="24"/>
                <w:lang w:val="en-US" w:eastAsia="zh-CN"/>
              </w:rPr>
              <w:t xml:space="preserve">            </w:t>
            </w:r>
            <w:r>
              <w:rPr>
                <w:rFonts w:hint="eastAsia"/>
                <w:sz w:val="24"/>
                <w:szCs w:val="24"/>
              </w:rPr>
              <w:t>主管领导：</w:t>
            </w:r>
            <w:r>
              <w:rPr>
                <w:rFonts w:hint="eastAsia" w:ascii="宋体" w:hAnsi="宋体" w:cs="Arial"/>
                <w:szCs w:val="21"/>
                <w:lang w:val="en-US" w:eastAsia="zh-CN"/>
              </w:rPr>
              <w:t xml:space="preserve">张炳辉       </w:t>
            </w:r>
            <w:r>
              <w:rPr>
                <w:rFonts w:ascii="宋体" w:hAnsi="宋体" w:cs="Arial"/>
                <w:szCs w:val="21"/>
              </w:rPr>
              <w:t xml:space="preserve"> </w:t>
            </w:r>
            <w:r>
              <w:rPr>
                <w:rFonts w:hint="eastAsia"/>
                <w:sz w:val="24"/>
                <w:szCs w:val="24"/>
              </w:rPr>
              <w:t>陪同人员：</w:t>
            </w:r>
            <w:r>
              <w:rPr>
                <w:rFonts w:hint="eastAsia"/>
                <w:sz w:val="24"/>
                <w:szCs w:val="24"/>
                <w:lang w:val="en-US" w:eastAsia="zh-CN"/>
              </w:rPr>
              <w:t>张炳坤</w:t>
            </w:r>
          </w:p>
        </w:tc>
        <w:tc>
          <w:tcPr>
            <w:tcW w:w="7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70" w:type="dxa"/>
            <w:vMerge w:val="continue"/>
            <w:vAlign w:val="center"/>
          </w:tcPr>
          <w:p/>
        </w:tc>
        <w:tc>
          <w:tcPr>
            <w:tcW w:w="954" w:type="dxa"/>
            <w:vMerge w:val="continue"/>
            <w:vAlign w:val="center"/>
          </w:tcPr>
          <w:p/>
        </w:tc>
        <w:tc>
          <w:tcPr>
            <w:tcW w:w="11590"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张磊、</w:t>
            </w:r>
            <w:r>
              <w:rPr>
                <w:rFonts w:hint="eastAsia"/>
                <w:sz w:val="24"/>
                <w:szCs w:val="24"/>
                <w:lang w:val="de-DE"/>
              </w:rPr>
              <w:t>张红侠</w:t>
            </w:r>
            <w:r>
              <w:rPr>
                <w:rFonts w:hint="eastAsia"/>
                <w:sz w:val="24"/>
                <w:szCs w:val="24"/>
                <w:lang w:val="de-DE" w:eastAsia="zh-CN"/>
              </w:rPr>
              <w:t>（</w:t>
            </w:r>
            <w:r>
              <w:rPr>
                <w:rFonts w:hint="eastAsia"/>
                <w:sz w:val="24"/>
                <w:szCs w:val="24"/>
                <w:lang w:val="en-US" w:eastAsia="zh-CN"/>
              </w:rPr>
              <w:t>Q实习）</w:t>
            </w:r>
            <w:r>
              <w:rPr>
                <w:rFonts w:hint="eastAsia"/>
                <w:sz w:val="18"/>
                <w:szCs w:val="18"/>
                <w:lang w:val="en-US" w:eastAsia="zh-CN"/>
              </w:rPr>
              <w:t xml:space="preserve">  </w:t>
            </w:r>
            <w:bookmarkStart w:id="1" w:name="_GoBack"/>
            <w:r>
              <w:rPr>
                <w:rFonts w:hint="eastAsia"/>
                <w:sz w:val="18"/>
                <w:szCs w:val="18"/>
                <w:lang w:val="en-US" w:eastAsia="zh-CN"/>
              </w:rPr>
              <w:t xml:space="preserve"> （微信远程）  </w:t>
            </w:r>
            <w:bookmarkEnd w:id="1"/>
            <w:r>
              <w:rPr>
                <w:rFonts w:hint="eastAsia"/>
                <w:sz w:val="18"/>
                <w:szCs w:val="18"/>
                <w:lang w:val="en-US" w:eastAsia="zh-CN"/>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10</w:t>
            </w:r>
            <w:r>
              <w:rPr>
                <w:rFonts w:hint="eastAsia" w:ascii="宋体" w:hAnsi="宋体" w:cs="Arial"/>
                <w:szCs w:val="21"/>
              </w:rPr>
              <w:t>月</w:t>
            </w:r>
            <w:r>
              <w:rPr>
                <w:rFonts w:hint="eastAsia" w:ascii="宋体" w:hAnsi="宋体" w:cs="Arial"/>
                <w:szCs w:val="21"/>
                <w:lang w:val="en-US" w:eastAsia="zh-CN"/>
              </w:rPr>
              <w:t>19</w:t>
            </w:r>
            <w:r>
              <w:rPr>
                <w:rFonts w:hint="eastAsia" w:ascii="宋体" w:hAnsi="宋体" w:cs="Arial"/>
                <w:szCs w:val="21"/>
              </w:rPr>
              <w:t>日</w:t>
            </w:r>
          </w:p>
        </w:tc>
        <w:tc>
          <w:tcPr>
            <w:tcW w:w="7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0" w:type="dxa"/>
            <w:vMerge w:val="continue"/>
            <w:vAlign w:val="center"/>
          </w:tcPr>
          <w:p/>
        </w:tc>
        <w:tc>
          <w:tcPr>
            <w:tcW w:w="954" w:type="dxa"/>
            <w:vMerge w:val="continue"/>
            <w:vAlign w:val="center"/>
          </w:tcPr>
          <w:p/>
        </w:tc>
        <w:tc>
          <w:tcPr>
            <w:tcW w:w="11590" w:type="dxa"/>
            <w:vAlign w:val="center"/>
          </w:tcPr>
          <w:p>
            <w:pPr>
              <w:snapToGrid w:val="0"/>
              <w:spacing w:line="240" w:lineRule="exact"/>
              <w:rPr>
                <w:rFonts w:hint="default"/>
                <w:color w:val="auto"/>
                <w:lang w:val="en-US" w:eastAsia="zh-CN"/>
              </w:rPr>
            </w:pPr>
            <w:r>
              <w:rPr>
                <w:rFonts w:hint="eastAsia"/>
                <w:sz w:val="24"/>
                <w:szCs w:val="24"/>
              </w:rPr>
              <w:t>审核条款：</w:t>
            </w:r>
            <w:r>
              <w:rPr>
                <w:rFonts w:hint="eastAsia" w:ascii="Times New Roman" w:hAnsi="Times New Roman" w:cs="Times New Roman"/>
                <w:color w:val="auto"/>
                <w:sz w:val="20"/>
                <w:lang w:val="de-DE"/>
              </w:rPr>
              <w:t>QMS-2015</w:t>
            </w:r>
          </w:p>
          <w:p>
            <w:pPr>
              <w:snapToGrid w:val="0"/>
              <w:spacing w:line="240" w:lineRule="exact"/>
              <w:rPr>
                <w:rFonts w:hint="default"/>
                <w:color w:val="auto"/>
                <w:lang w:val="en-US"/>
              </w:rPr>
            </w:pPr>
            <w:r>
              <w:rPr>
                <w:rFonts w:hint="eastAsia" w:ascii="宋体" w:hAnsi="宋体" w:cs="新宋体"/>
                <w:color w:val="auto"/>
                <w:sz w:val="18"/>
                <w:szCs w:val="18"/>
              </w:rPr>
              <w:t>5.3岗位/职责 /权限；6.2质量目标及其实现的策划；7.1.3基础设施；  7.1.4过程运行环境；8.1运行策划和控制；8.2产品和服务的要求；</w:t>
            </w:r>
            <w:r>
              <w:rPr>
                <w:rFonts w:hint="eastAsia" w:ascii="宋体" w:hAnsi="宋体" w:cs="新宋体"/>
                <w:color w:val="auto"/>
                <w:sz w:val="18"/>
                <w:szCs w:val="18"/>
                <w:lang w:val="en-US" w:eastAsia="zh-CN"/>
              </w:rPr>
              <w:t>8.3产品和服务的设计和开发；</w:t>
            </w:r>
            <w:r>
              <w:rPr>
                <w:rFonts w:hint="eastAsia" w:ascii="宋体" w:hAnsi="宋体" w:cs="新宋体"/>
                <w:color w:val="auto"/>
                <w:sz w:val="18"/>
                <w:szCs w:val="18"/>
              </w:rPr>
              <w:t>8.5.1生产和服务提供的控</w:t>
            </w:r>
            <w:r>
              <w:rPr>
                <w:rFonts w:hint="eastAsia" w:ascii="宋体" w:hAnsi="宋体" w:cs="新宋体"/>
                <w:color w:val="auto"/>
                <w:sz w:val="18"/>
                <w:szCs w:val="18"/>
                <w:lang w:eastAsia="zh-CN"/>
              </w:rPr>
              <w:t>；</w:t>
            </w:r>
            <w:r>
              <w:rPr>
                <w:rFonts w:hint="eastAsia" w:ascii="宋体" w:hAnsi="宋体" w:cs="新宋体"/>
                <w:color w:val="auto"/>
                <w:sz w:val="18"/>
                <w:szCs w:val="18"/>
              </w:rPr>
              <w:t>8.5.2标识和可追溯性；8.5.3顾客或外部供方的财产；；8.5.4防护；8.5.5交付后的活动；8.5.6更改控制</w:t>
            </w:r>
            <w:r>
              <w:rPr>
                <w:rFonts w:hint="eastAsia" w:ascii="宋体" w:hAnsi="宋体" w:cs="新宋体"/>
                <w:color w:val="auto"/>
                <w:sz w:val="18"/>
                <w:szCs w:val="18"/>
                <w:lang w:eastAsia="zh-CN"/>
              </w:rPr>
              <w:t>；</w:t>
            </w:r>
            <w:r>
              <w:rPr>
                <w:rFonts w:hint="eastAsia" w:ascii="宋体" w:hAnsi="宋体" w:cs="新宋体"/>
                <w:color w:val="auto"/>
                <w:sz w:val="18"/>
                <w:szCs w:val="18"/>
              </w:rPr>
              <w:t>8.6产品和服务放行；8.7不合格输出的控制；9.1.2顾客满意；</w:t>
            </w:r>
            <w:r>
              <w:rPr>
                <w:rFonts w:hint="eastAsia" w:ascii="宋体" w:hAnsi="宋体" w:cs="新宋体"/>
                <w:color w:val="auto"/>
                <w:sz w:val="18"/>
                <w:szCs w:val="18"/>
                <w:lang w:val="en-US" w:eastAsia="zh-CN"/>
              </w:rPr>
              <w:t>9.1.3分析与评价</w:t>
            </w:r>
          </w:p>
          <w:p>
            <w:pPr>
              <w:snapToGrid w:val="0"/>
              <w:spacing w:line="240" w:lineRule="exact"/>
              <w:rPr>
                <w:rFonts w:hint="default" w:ascii="Times New Roman" w:hAnsi="Times New Roman" w:eastAsia="宋体" w:cs="Times New Roman"/>
                <w:color w:val="auto"/>
                <w:sz w:val="20"/>
                <w:lang w:val="en-US" w:eastAsia="zh-CN"/>
              </w:rPr>
            </w:pPr>
            <w:r>
              <w:rPr>
                <w:rFonts w:hint="eastAsia" w:ascii="Times New Roman" w:hAnsi="Times New Roman" w:cs="Times New Roman"/>
                <w:color w:val="auto"/>
                <w:sz w:val="20"/>
                <w:lang w:val="de-DE"/>
              </w:rPr>
              <w:t xml:space="preserve">EMS-2015 </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5.3组织的角色、职责和权限、6.1.2环境因素；6.2目标及其达成的策划；8.1运行策划和控制；</w:t>
            </w:r>
          </w:p>
          <w:p>
            <w:pPr>
              <w:snapToGrid w:val="0"/>
              <w:spacing w:line="240" w:lineRule="exact"/>
              <w:rPr>
                <w:rFonts w:hint="default" w:ascii="宋体" w:hAnsi="宋体" w:cs="新宋体"/>
                <w:color w:val="auto"/>
                <w:sz w:val="18"/>
                <w:szCs w:val="18"/>
                <w:lang w:val="en-US" w:eastAsia="zh-CN"/>
              </w:rPr>
            </w:pPr>
            <w:r>
              <w:rPr>
                <w:rFonts w:hint="eastAsia" w:ascii="宋体" w:hAnsi="宋体" w:cs="新宋体"/>
                <w:color w:val="auto"/>
                <w:sz w:val="18"/>
                <w:szCs w:val="18"/>
              </w:rPr>
              <w:t>8.2应急准备和响应</w:t>
            </w:r>
            <w:r>
              <w:rPr>
                <w:rFonts w:hint="eastAsia" w:ascii="宋体" w:hAnsi="宋体" w:cs="新宋体"/>
                <w:color w:val="auto"/>
                <w:sz w:val="18"/>
                <w:szCs w:val="18"/>
                <w:lang w:eastAsia="zh-CN"/>
              </w:rPr>
              <w:t>；</w:t>
            </w:r>
          </w:p>
          <w:p>
            <w:pPr>
              <w:snapToGrid w:val="0"/>
              <w:spacing w:line="240" w:lineRule="exact"/>
              <w:rPr>
                <w:rFonts w:ascii="宋体" w:hAnsi="宋体" w:cs="新宋体"/>
                <w:color w:val="auto"/>
                <w:sz w:val="18"/>
                <w:szCs w:val="18"/>
              </w:rPr>
            </w:pPr>
            <w:r>
              <w:rPr>
                <w:rFonts w:hint="eastAsia"/>
                <w:color w:val="auto"/>
                <w:sz w:val="20"/>
                <w:lang w:val="de-DE"/>
              </w:rPr>
              <w:t>ISO 45001：2018</w:t>
            </w:r>
          </w:p>
          <w:p>
            <w:pPr>
              <w:rPr>
                <w:sz w:val="24"/>
                <w:szCs w:val="24"/>
              </w:rPr>
            </w:pPr>
            <w:r>
              <w:rPr>
                <w:rFonts w:hint="eastAsia" w:ascii="宋体" w:hAnsi="宋体" w:cs="新宋体"/>
                <w:color w:val="auto"/>
                <w:sz w:val="18"/>
                <w:szCs w:val="18"/>
              </w:rPr>
              <w:t>5.3组织的角色、职责和权限；6.1.2危险源辨识和职业安全风险评价；6.2目标及其实现的策划；8.1运行策划和控制；8.2应急准备和响应</w:t>
            </w:r>
            <w:r>
              <w:rPr>
                <w:rFonts w:hint="eastAsia" w:ascii="宋体" w:hAnsi="宋体" w:cs="新宋体"/>
                <w:color w:val="auto"/>
                <w:sz w:val="18"/>
                <w:szCs w:val="18"/>
                <w:lang w:eastAsia="zh-CN"/>
              </w:rPr>
              <w:t>；</w:t>
            </w:r>
          </w:p>
        </w:tc>
        <w:tc>
          <w:tcPr>
            <w:tcW w:w="7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7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组织的岗位、职责和权限</w:t>
            </w:r>
          </w:p>
        </w:tc>
        <w:tc>
          <w:tcPr>
            <w:tcW w:w="954"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lang w:val="en-US" w:eastAsia="zh-CN"/>
              </w:rPr>
              <w:t>Q</w:t>
            </w:r>
            <w:r>
              <w:rPr>
                <w:rFonts w:ascii="宋体" w:hAnsi="宋体" w:cs="Arial"/>
                <w:szCs w:val="21"/>
              </w:rPr>
              <w:t>EO:5.3</w:t>
            </w:r>
            <w:r>
              <w:t xml:space="preserve"> </w:t>
            </w:r>
          </w:p>
        </w:tc>
        <w:tc>
          <w:tcPr>
            <w:tcW w:w="11590" w:type="dxa"/>
            <w:vAlign w:val="top"/>
          </w:tcPr>
          <w:p>
            <w:pPr>
              <w:spacing w:line="280" w:lineRule="exact"/>
              <w:ind w:firstLine="420"/>
              <w:rPr>
                <w:rFonts w:hint="eastAsia"/>
                <w:color w:val="000000"/>
                <w:szCs w:val="21"/>
                <w:lang w:val="en-US" w:eastAsia="zh-CN"/>
              </w:rPr>
            </w:pPr>
            <w:r>
              <w:rPr>
                <w:rFonts w:hint="eastAsia"/>
                <w:color w:val="000000"/>
                <w:szCs w:val="21"/>
              </w:rPr>
              <w:t>本部门主要负责</w:t>
            </w:r>
            <w:r>
              <w:rPr>
                <w:rFonts w:hint="eastAsia"/>
                <w:color w:val="000000"/>
                <w:szCs w:val="21"/>
                <w:lang w:eastAsia="zh-CN"/>
              </w:rPr>
              <w:t>：</w:t>
            </w:r>
          </w:p>
          <w:p>
            <w:pPr>
              <w:spacing w:line="280" w:lineRule="exact"/>
              <w:ind w:firstLine="420"/>
              <w:rPr>
                <w:rFonts w:hint="eastAsia"/>
                <w:color w:val="000000"/>
                <w:szCs w:val="21"/>
              </w:rPr>
            </w:pPr>
            <w:r>
              <w:rPr>
                <w:rFonts w:hint="eastAsia"/>
                <w:color w:val="000000"/>
                <w:szCs w:val="21"/>
              </w:rPr>
              <w:t>负责</w:t>
            </w:r>
            <w:r>
              <w:rPr>
                <w:rFonts w:hint="eastAsia"/>
                <w:color w:val="000000"/>
                <w:szCs w:val="21"/>
                <w:lang w:val="en-US" w:eastAsia="zh-CN"/>
              </w:rPr>
              <w:t>城市市容管理服务</w:t>
            </w:r>
            <w:r>
              <w:rPr>
                <w:rFonts w:hint="eastAsia"/>
                <w:color w:val="000000"/>
                <w:szCs w:val="21"/>
              </w:rPr>
              <w:t>实现的策划</w:t>
            </w:r>
            <w:r>
              <w:rPr>
                <w:rFonts w:hint="eastAsia"/>
                <w:color w:val="000000"/>
                <w:szCs w:val="21"/>
                <w:lang w:eastAsia="zh-CN"/>
              </w:rPr>
              <w:t>、</w:t>
            </w:r>
            <w:r>
              <w:rPr>
                <w:rFonts w:hint="eastAsia"/>
                <w:color w:val="000000"/>
                <w:szCs w:val="21"/>
                <w:lang w:val="en-US" w:eastAsia="zh-CN"/>
              </w:rPr>
              <w:t>过程服务工作</w:t>
            </w:r>
            <w:r>
              <w:rPr>
                <w:rFonts w:hint="eastAsia"/>
                <w:color w:val="000000"/>
                <w:szCs w:val="21"/>
              </w:rPr>
              <w:t>；</w:t>
            </w:r>
          </w:p>
          <w:p>
            <w:pPr>
              <w:spacing w:line="280" w:lineRule="exact"/>
              <w:ind w:firstLine="420"/>
              <w:rPr>
                <w:rFonts w:hint="eastAsia"/>
                <w:color w:val="000000"/>
                <w:szCs w:val="21"/>
                <w:lang w:val="en-US" w:eastAsia="zh-CN"/>
              </w:rPr>
            </w:pPr>
            <w:r>
              <w:rPr>
                <w:rFonts w:hint="eastAsia"/>
                <w:color w:val="000000"/>
                <w:szCs w:val="21"/>
                <w:lang w:val="en-US" w:eastAsia="zh-CN"/>
              </w:rPr>
              <w:t>负责公司项目实施前、项目实施过程中各项工作的开展实施；</w:t>
            </w:r>
          </w:p>
          <w:p>
            <w:pPr>
              <w:spacing w:line="280" w:lineRule="exact"/>
              <w:ind w:firstLine="420"/>
              <w:rPr>
                <w:rFonts w:hint="eastAsia"/>
                <w:color w:val="000000"/>
                <w:szCs w:val="21"/>
                <w:lang w:val="en-US" w:eastAsia="zh-CN"/>
              </w:rPr>
            </w:pPr>
            <w:r>
              <w:rPr>
                <w:rFonts w:hint="eastAsia"/>
                <w:color w:val="000000"/>
                <w:szCs w:val="21"/>
                <w:lang w:val="en-US" w:eastAsia="zh-CN"/>
              </w:rPr>
              <w:t>负责服务过程中的沟通工作；</w:t>
            </w:r>
          </w:p>
          <w:p>
            <w:pPr>
              <w:spacing w:line="280" w:lineRule="exact"/>
              <w:ind w:firstLine="420"/>
              <w:rPr>
                <w:rFonts w:hint="eastAsia"/>
                <w:color w:val="000000"/>
                <w:szCs w:val="21"/>
                <w:lang w:val="en-US" w:eastAsia="zh-CN"/>
              </w:rPr>
            </w:pPr>
            <w:r>
              <w:rPr>
                <w:rFonts w:hint="eastAsia"/>
                <w:color w:val="000000"/>
                <w:szCs w:val="21"/>
                <w:lang w:val="en-US" w:eastAsia="zh-CN"/>
              </w:rPr>
              <w:t>负责项目中人员进驻、服务的具体实施、服务结束后的人员撤离等工作；</w:t>
            </w:r>
          </w:p>
          <w:p>
            <w:pPr>
              <w:spacing w:line="280" w:lineRule="exact"/>
              <w:ind w:firstLine="420"/>
              <w:rPr>
                <w:rFonts w:hint="eastAsia"/>
                <w:color w:val="000000"/>
                <w:szCs w:val="21"/>
              </w:rPr>
            </w:pPr>
            <w:r>
              <w:rPr>
                <w:rFonts w:hint="eastAsia"/>
                <w:color w:val="000000"/>
                <w:szCs w:val="21"/>
              </w:rPr>
              <w:t>负责各项目进行日常工作的监督</w:t>
            </w:r>
            <w:r>
              <w:rPr>
                <w:rFonts w:hint="eastAsia"/>
                <w:color w:val="000000"/>
                <w:szCs w:val="21"/>
                <w:lang w:eastAsia="zh-CN"/>
              </w:rPr>
              <w:t>，</w:t>
            </w:r>
            <w:r>
              <w:rPr>
                <w:rFonts w:hint="eastAsia"/>
                <w:color w:val="000000"/>
                <w:szCs w:val="21"/>
              </w:rPr>
              <w:t>做好公司审查考核工作，处理员工奖惩事宜</w:t>
            </w:r>
            <w:r>
              <w:rPr>
                <w:rFonts w:hint="eastAsia"/>
                <w:color w:val="000000"/>
                <w:szCs w:val="21"/>
                <w:lang w:eastAsia="zh-CN"/>
              </w:rPr>
              <w:t>；</w:t>
            </w:r>
          </w:p>
          <w:p>
            <w:pPr>
              <w:spacing w:line="280" w:lineRule="exact"/>
              <w:ind w:firstLine="420"/>
              <w:rPr>
                <w:rFonts w:hint="eastAsia"/>
                <w:color w:val="000000"/>
                <w:szCs w:val="21"/>
              </w:rPr>
            </w:pPr>
            <w:r>
              <w:rPr>
                <w:rFonts w:hint="eastAsia"/>
                <w:color w:val="000000"/>
                <w:szCs w:val="21"/>
              </w:rPr>
              <w:t>负责收集、处理、汇总和分析顾客信息，保持与顾客的信息联系；</w:t>
            </w:r>
          </w:p>
          <w:p>
            <w:pPr>
              <w:spacing w:line="280" w:lineRule="exact"/>
              <w:ind w:firstLine="420"/>
              <w:rPr>
                <w:rFonts w:hint="eastAsia"/>
                <w:color w:val="000000"/>
                <w:szCs w:val="21"/>
                <w:lang w:val="en-US" w:eastAsia="zh-CN"/>
              </w:rPr>
            </w:pPr>
            <w:r>
              <w:rPr>
                <w:rFonts w:hint="eastAsia"/>
                <w:color w:val="000000"/>
                <w:szCs w:val="21"/>
              </w:rPr>
              <w:t>组织处理顾客投诉，对顾客满意度进行测量，有效地处理顾客意见，建立顾客档案；</w:t>
            </w:r>
            <w:r>
              <w:rPr>
                <w:rFonts w:hint="eastAsia"/>
                <w:color w:val="000000"/>
                <w:szCs w:val="21"/>
                <w:lang w:val="en-US" w:eastAsia="zh-CN"/>
              </w:rPr>
              <w:t> </w:t>
            </w:r>
          </w:p>
          <w:p>
            <w:pPr>
              <w:spacing w:line="280" w:lineRule="exact"/>
              <w:ind w:firstLine="420"/>
              <w:rPr>
                <w:color w:val="000000"/>
                <w:szCs w:val="21"/>
              </w:rPr>
            </w:pPr>
            <w:r>
              <w:rPr>
                <w:rFonts w:hint="eastAsia"/>
                <w:color w:val="000000"/>
                <w:szCs w:val="21"/>
                <w:lang w:eastAsia="zh-CN"/>
              </w:rPr>
              <w:t>识别本部门及公司环境因素、危险源</w:t>
            </w:r>
            <w:r>
              <w:rPr>
                <w:rFonts w:hint="eastAsia"/>
                <w:color w:val="000000"/>
                <w:szCs w:val="21"/>
              </w:rPr>
              <w:t>与</w:t>
            </w:r>
            <w:r>
              <w:rPr>
                <w:rFonts w:hint="eastAsia"/>
                <w:color w:val="000000"/>
                <w:szCs w:val="21"/>
                <w:lang w:eastAsia="zh-CN"/>
              </w:rPr>
              <w:t>服务部</w:t>
            </w:r>
            <w:r>
              <w:rPr>
                <w:rFonts w:hint="eastAsia"/>
                <w:color w:val="000000"/>
                <w:szCs w:val="21"/>
              </w:rPr>
              <w:t>负责人沟通，描述的职责和权限与质量管理体系的职能分配表基本一致。</w:t>
            </w:r>
          </w:p>
          <w:p>
            <w:pPr>
              <w:spacing w:line="280" w:lineRule="exact"/>
              <w:ind w:firstLine="420" w:firstLineChars="0"/>
              <w:rPr>
                <w:rFonts w:ascii="Times New Roman" w:hAnsi="Times New Roman" w:eastAsia="宋体" w:cs="Times New Roman"/>
                <w:b/>
                <w:color w:val="000000"/>
                <w:kern w:val="2"/>
                <w:sz w:val="21"/>
                <w:szCs w:val="21"/>
                <w:lang w:val="en-US" w:eastAsia="zh-CN" w:bidi="ar-SA"/>
              </w:rPr>
            </w:pPr>
            <w:r>
              <w:rPr>
                <w:rFonts w:hint="eastAsia"/>
                <w:color w:val="000000"/>
                <w:szCs w:val="21"/>
              </w:rPr>
              <w:t>有办公桌、电脑、空调以及安保用品等能满足部门体系运行需求。</w:t>
            </w:r>
          </w:p>
        </w:tc>
        <w:tc>
          <w:tcPr>
            <w:tcW w:w="7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37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质量、环境与职业健康安全目标</w:t>
            </w:r>
          </w:p>
        </w:tc>
        <w:tc>
          <w:tcPr>
            <w:tcW w:w="954"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lang w:val="en-US" w:eastAsia="zh-CN"/>
              </w:rPr>
              <w:t>Q</w:t>
            </w:r>
            <w:r>
              <w:rPr>
                <w:rFonts w:ascii="宋体" w:hAnsi="宋体" w:cs="Arial"/>
                <w:szCs w:val="21"/>
              </w:rPr>
              <w:t>EO:6.2</w:t>
            </w:r>
          </w:p>
        </w:tc>
        <w:tc>
          <w:tcPr>
            <w:tcW w:w="11590" w:type="dxa"/>
            <w:vAlign w:val="top"/>
          </w:tcPr>
          <w:p>
            <w:pPr>
              <w:snapToGrid w:val="0"/>
              <w:ind w:firstLine="420" w:firstLineChars="200"/>
              <w:rPr>
                <w:color w:val="000000"/>
                <w:szCs w:val="21"/>
              </w:rPr>
            </w:pPr>
            <w:r>
              <w:rPr>
                <w:rFonts w:hint="eastAsia"/>
                <w:color w:val="000000"/>
                <w:szCs w:val="21"/>
              </w:rPr>
              <w:t>涉及</w:t>
            </w:r>
            <w:r>
              <w:rPr>
                <w:rFonts w:hint="eastAsia"/>
                <w:color w:val="000000"/>
                <w:szCs w:val="21"/>
                <w:lang w:eastAsia="zh-CN"/>
              </w:rPr>
              <w:t>服务部</w:t>
            </w:r>
            <w:r>
              <w:rPr>
                <w:rFonts w:hint="eastAsia"/>
                <w:color w:val="000000"/>
                <w:szCs w:val="21"/>
              </w:rPr>
              <w:t>的管理目标及完成情况：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1200"/>
              <w:gridCol w:w="303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color w:val="000000"/>
                      <w:szCs w:val="18"/>
                      <w:highlight w:val="none"/>
                    </w:rPr>
                  </w:pPr>
                  <w:r>
                    <w:rPr>
                      <w:rFonts w:hint="eastAsia"/>
                      <w:color w:val="000000"/>
                      <w:szCs w:val="18"/>
                      <w:highlight w:val="none"/>
                    </w:rPr>
                    <w:t>目标</w:t>
                  </w:r>
                </w:p>
              </w:tc>
              <w:tc>
                <w:tcPr>
                  <w:tcW w:w="1200" w:type="dxa"/>
                </w:tcPr>
                <w:p>
                  <w:pPr>
                    <w:widowControl/>
                    <w:spacing w:before="40"/>
                    <w:jc w:val="left"/>
                    <w:rPr>
                      <w:color w:val="000000"/>
                      <w:szCs w:val="18"/>
                      <w:highlight w:val="none"/>
                    </w:rPr>
                  </w:pPr>
                  <w:r>
                    <w:rPr>
                      <w:rFonts w:hint="eastAsia"/>
                      <w:color w:val="000000"/>
                      <w:szCs w:val="18"/>
                      <w:highlight w:val="none"/>
                    </w:rPr>
                    <w:t>考核频次</w:t>
                  </w:r>
                </w:p>
              </w:tc>
              <w:tc>
                <w:tcPr>
                  <w:tcW w:w="3035" w:type="dxa"/>
                </w:tcPr>
                <w:p>
                  <w:pPr>
                    <w:widowControl/>
                    <w:spacing w:before="40"/>
                    <w:jc w:val="left"/>
                    <w:rPr>
                      <w:color w:val="000000"/>
                      <w:szCs w:val="18"/>
                      <w:highlight w:val="none"/>
                    </w:rPr>
                  </w:pPr>
                  <w:r>
                    <w:rPr>
                      <w:rFonts w:hint="eastAsia"/>
                      <w:color w:val="000000"/>
                      <w:szCs w:val="18"/>
                      <w:highlight w:val="none"/>
                    </w:rPr>
                    <w:t>计算方法</w:t>
                  </w:r>
                </w:p>
              </w:tc>
              <w:tc>
                <w:tcPr>
                  <w:tcW w:w="2444"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合同评审率100%</w:t>
                  </w:r>
                </w:p>
              </w:tc>
              <w:tc>
                <w:tcPr>
                  <w:tcW w:w="1200"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rPr>
                    <w:t>每季度</w:t>
                  </w:r>
                </w:p>
              </w:tc>
              <w:tc>
                <w:tcPr>
                  <w:tcW w:w="3035" w:type="dxa"/>
                  <w:vAlign w:val="center"/>
                </w:tcPr>
                <w:p>
                  <w:pPr>
                    <w:keepNext w:val="0"/>
                    <w:keepLines w:val="0"/>
                    <w:widowControl/>
                    <w:suppressLineNumbers w:val="0"/>
                    <w:jc w:val="left"/>
                    <w:textAlignment w:val="center"/>
                    <w:rPr>
                      <w:rFonts w:hint="eastAsia" w:ascii="Times New Roman" w:hAnsi="Times New Roman" w:eastAsia="宋体" w:cs="Times New Roman"/>
                      <w:color w:val="000000"/>
                      <w:szCs w:val="18"/>
                      <w:highlight w:val="none"/>
                    </w:rPr>
                  </w:pPr>
                  <w:r>
                    <w:rPr>
                      <w:rFonts w:hint="eastAsia" w:ascii="宋体" w:hAnsi="宋体" w:eastAsia="宋体" w:cs="宋体"/>
                      <w:i w:val="0"/>
                      <w:iCs w:val="0"/>
                      <w:color w:val="000000"/>
                      <w:kern w:val="0"/>
                      <w:sz w:val="21"/>
                      <w:szCs w:val="21"/>
                      <w:u w:val="none"/>
                      <w:lang w:val="en-US" w:eastAsia="zh-CN" w:bidi="ar"/>
                    </w:rPr>
                    <w:t>合同评审项目数/实施项目总数×100％</w:t>
                  </w:r>
                </w:p>
              </w:tc>
              <w:tc>
                <w:tcPr>
                  <w:tcW w:w="2444" w:type="dxa"/>
                </w:tcPr>
                <w:p>
                  <w:pPr>
                    <w:widowControl/>
                    <w:spacing w:before="40"/>
                    <w:jc w:val="left"/>
                    <w:rPr>
                      <w:rFonts w:hint="eastAsia" w:cs="Times New Roman"/>
                      <w:color w:val="000000"/>
                      <w:szCs w:val="18"/>
                      <w:highlight w:val="none"/>
                      <w:lang w:val="en-US" w:eastAsia="zh-CN"/>
                    </w:rPr>
                  </w:pPr>
                  <w:r>
                    <w:rPr>
                      <w:rFonts w:hint="eastAsia" w:ascii="Times New Roman" w:hAnsi="Times New Roman" w:eastAsia="宋体" w:cs="Times New Roman"/>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合同履约率100%</w:t>
                  </w:r>
                </w:p>
              </w:tc>
              <w:tc>
                <w:tcPr>
                  <w:tcW w:w="1200"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rPr>
                    <w:t>每季度</w:t>
                  </w:r>
                </w:p>
              </w:tc>
              <w:tc>
                <w:tcPr>
                  <w:tcW w:w="3035" w:type="dxa"/>
                  <w:vAlign w:val="center"/>
                </w:tcPr>
                <w:p>
                  <w:pPr>
                    <w:keepNext w:val="0"/>
                    <w:keepLines w:val="0"/>
                    <w:widowControl/>
                    <w:suppressLineNumbers w:val="0"/>
                    <w:jc w:val="left"/>
                    <w:textAlignment w:val="center"/>
                    <w:rPr>
                      <w:rFonts w:hint="eastAsia" w:ascii="Times New Roman" w:hAnsi="Times New Roman" w:eastAsia="宋体" w:cs="Times New Roman"/>
                      <w:color w:val="000000"/>
                      <w:szCs w:val="18"/>
                      <w:highlight w:val="none"/>
                    </w:rPr>
                  </w:pPr>
                  <w:r>
                    <w:rPr>
                      <w:rFonts w:hint="eastAsia" w:ascii="宋体" w:hAnsi="宋体" w:eastAsia="宋体" w:cs="宋体"/>
                      <w:i w:val="0"/>
                      <w:iCs w:val="0"/>
                      <w:color w:val="000000"/>
                      <w:kern w:val="0"/>
                      <w:sz w:val="21"/>
                      <w:szCs w:val="21"/>
                      <w:u w:val="none"/>
                      <w:lang w:val="en-US" w:eastAsia="zh-CN" w:bidi="ar"/>
                    </w:rPr>
                    <w:t>履约的合同数/总签约的合同数*100％</w:t>
                  </w:r>
                </w:p>
              </w:tc>
              <w:tc>
                <w:tcPr>
                  <w:tcW w:w="2444" w:type="dxa"/>
                </w:tcPr>
                <w:p>
                  <w:pPr>
                    <w:widowControl/>
                    <w:spacing w:before="40"/>
                    <w:jc w:val="left"/>
                    <w:rPr>
                      <w:rFonts w:hint="eastAsia" w:cs="Times New Roman"/>
                      <w:color w:val="000000"/>
                      <w:szCs w:val="18"/>
                      <w:highlight w:val="none"/>
                      <w:lang w:val="en-US" w:eastAsia="zh-CN"/>
                    </w:rPr>
                  </w:pPr>
                  <w:r>
                    <w:rPr>
                      <w:rFonts w:hint="eastAsia" w:ascii="Times New Roman" w:hAnsi="Times New Roman" w:eastAsia="宋体" w:cs="Times New Roman"/>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顾客满意率≥90%</w:t>
                  </w:r>
                </w:p>
              </w:tc>
              <w:tc>
                <w:tcPr>
                  <w:tcW w:w="120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调查客户总分/客户数量*100％</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92</w:t>
                  </w:r>
                  <w:r>
                    <w:rPr>
                      <w:rFonts w:hint="eastAsia" w:ascii="Times New Roman" w:hAnsi="Times New Roman" w:eastAsia="宋体" w:cs="Times New Roman"/>
                      <w:color w:val="000000"/>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无重大服务质量投诉</w:t>
                  </w:r>
                </w:p>
              </w:tc>
              <w:tc>
                <w:tcPr>
                  <w:tcW w:w="120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每季度</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以实际发生为准进行计数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固废分类回收处理率100%</w:t>
                  </w:r>
                </w:p>
              </w:tc>
              <w:tc>
                <w:tcPr>
                  <w:tcW w:w="120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按分类次数/总处理次数×100%</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火灾事故为0</w:t>
                  </w:r>
                </w:p>
              </w:tc>
              <w:tc>
                <w:tcPr>
                  <w:tcW w:w="1200"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以实际发生为准进行计数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触电事故为0</w:t>
                  </w:r>
                </w:p>
              </w:tc>
              <w:tc>
                <w:tcPr>
                  <w:tcW w:w="120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以实际发生为准进行计数</w:t>
                  </w:r>
                </w:p>
              </w:tc>
              <w:tc>
                <w:tcPr>
                  <w:tcW w:w="2444"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意外伤害事故为0</w:t>
                  </w:r>
                </w:p>
              </w:tc>
              <w:tc>
                <w:tcPr>
                  <w:tcW w:w="1200"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035" w:type="dxa"/>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以实际发生为准进行计数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0</w:t>
                  </w:r>
                </w:p>
              </w:tc>
            </w:tr>
          </w:tbl>
          <w:p>
            <w:pPr>
              <w:snapToGrid w:val="0"/>
              <w:ind w:firstLine="420" w:firstLineChars="200"/>
              <w:rPr>
                <w:rFonts w:ascii="Times New Roman" w:hAnsi="Times New Roman" w:eastAsia="宋体" w:cs="Times New Roman"/>
                <w:color w:val="000000"/>
                <w:kern w:val="2"/>
                <w:sz w:val="21"/>
                <w:szCs w:val="21"/>
                <w:highlight w:val="yellow"/>
                <w:lang w:val="en-US" w:eastAsia="zh-CN" w:bidi="ar-SA"/>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彭玮</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val="en-US" w:eastAsia="zh-CN"/>
              </w:rPr>
              <w:t>高为为</w:t>
            </w:r>
            <w:r>
              <w:rPr>
                <w:rFonts w:hint="eastAsia"/>
                <w:color w:val="000000"/>
                <w:szCs w:val="21"/>
              </w:rPr>
              <w:t>。</w:t>
            </w:r>
          </w:p>
        </w:tc>
        <w:tc>
          <w:tcPr>
            <w:tcW w:w="7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370" w:type="dxa"/>
            <w:vAlign w:val="top"/>
          </w:tcPr>
          <w:p>
            <w:pPr>
              <w:spacing w:line="44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1"/>
                <w:szCs w:val="21"/>
              </w:rPr>
              <w:t>环境因素</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危险源</w:t>
            </w:r>
            <w:r>
              <w:rPr>
                <w:rFonts w:hint="default" w:ascii="Times New Roman" w:hAnsi="Times New Roman" w:cs="Times New Roman"/>
                <w:sz w:val="21"/>
                <w:szCs w:val="21"/>
              </w:rPr>
              <w:t>辨识与评价</w:t>
            </w:r>
          </w:p>
        </w:tc>
        <w:tc>
          <w:tcPr>
            <w:tcW w:w="954"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EO6.1.2</w:t>
            </w:r>
          </w:p>
        </w:tc>
        <w:tc>
          <w:tcPr>
            <w:tcW w:w="11590"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组织根据手册第6.1.2条款、《环境因素识别与评价控制程序》要求，由服务部负责指导各部门环境因素的调查、评价、汇总、登记、审定及更新，各部门负责组织实施，服务部负责汇总整理。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识别评价表》，组织在办公区、服务场地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13"/>
              <w:tblW w:w="465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147"/>
              <w:gridCol w:w="4340"/>
              <w:gridCol w:w="1153"/>
              <w:gridCol w:w="41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7" w:hRule="atLeast"/>
                <w:jc w:val="center"/>
              </w:trPr>
              <w:tc>
                <w:tcPr>
                  <w:tcW w:w="531"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活动点/工序/部位</w:t>
                  </w:r>
                </w:p>
              </w:tc>
              <w:tc>
                <w:tcPr>
                  <w:tcW w:w="534"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环境影响</w:t>
                  </w:r>
                </w:p>
              </w:tc>
              <w:tc>
                <w:tcPr>
                  <w:tcW w:w="1923"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37" w:hRule="atLeast"/>
                <w:jc w:val="center"/>
              </w:trPr>
              <w:tc>
                <w:tcPr>
                  <w:tcW w:w="531"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固体废弃物</w:t>
                  </w: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废弃的日光灯等处理不当</w:t>
                  </w:r>
                </w:p>
              </w:tc>
              <w:tc>
                <w:tcPr>
                  <w:tcW w:w="534"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废弃物污染</w:t>
                  </w:r>
                </w:p>
              </w:tc>
              <w:tc>
                <w:tcPr>
                  <w:tcW w:w="1923"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1.执行环境/职业健康安全管理方案；</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2.建立废弃物处理控制程序；</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3.加强与客户的沟通与配合；</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4.加强员工教育。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14" w:hRule="atLeast"/>
                <w:jc w:val="center"/>
              </w:trPr>
              <w:tc>
                <w:tcPr>
                  <w:tcW w:w="531"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废弃的硒鼓、墨盒等处理不当</w:t>
                  </w:r>
                </w:p>
              </w:tc>
              <w:tc>
                <w:tcPr>
                  <w:tcW w:w="534"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1923"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39" w:hRule="atLeast"/>
                <w:jc w:val="center"/>
              </w:trPr>
              <w:tc>
                <w:tcPr>
                  <w:tcW w:w="531"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废弃的电池等处理不当</w:t>
                  </w:r>
                </w:p>
              </w:tc>
              <w:tc>
                <w:tcPr>
                  <w:tcW w:w="534"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1923"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95" w:hRule="atLeast"/>
                <w:jc w:val="center"/>
              </w:trPr>
              <w:tc>
                <w:tcPr>
                  <w:tcW w:w="531"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火灾发生</w:t>
                  </w: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办公区域超负荷用电引起火灾发生</w:t>
                  </w:r>
                </w:p>
              </w:tc>
              <w:tc>
                <w:tcPr>
                  <w:tcW w:w="534"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大气污染</w:t>
                  </w:r>
                </w:p>
              </w:tc>
              <w:tc>
                <w:tcPr>
                  <w:tcW w:w="1923" w:type="pct"/>
                  <w:vMerge w:val="restar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1、配备消防设施；</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2、制定应急预案；</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3、定期进行消防应急演练；</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4、张贴禁止吸烟警示语；</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5、规定特定的消防通道；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31"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办公区域线路老化引起火灾发生</w:t>
                  </w:r>
                </w:p>
              </w:tc>
              <w:tc>
                <w:tcPr>
                  <w:tcW w:w="534"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1923"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9" w:hRule="atLeast"/>
                <w:jc w:val="center"/>
              </w:trPr>
              <w:tc>
                <w:tcPr>
                  <w:tcW w:w="531"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办公区域使用明火点燃易燃物引发火灾</w:t>
                  </w:r>
                </w:p>
              </w:tc>
              <w:tc>
                <w:tcPr>
                  <w:tcW w:w="534"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c>
                <w:tcPr>
                  <w:tcW w:w="1923" w:type="pct"/>
                  <w:vMerge w:val="continue"/>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39" w:hRule="atLeast"/>
                <w:jc w:val="center"/>
              </w:trPr>
              <w:tc>
                <w:tcPr>
                  <w:tcW w:w="531"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疫情期间防护用品（口罩）污染环境</w:t>
                  </w:r>
                </w:p>
              </w:tc>
              <w:tc>
                <w:tcPr>
                  <w:tcW w:w="2010"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使用过的口罩未按照要求处置，随意丢弃</w:t>
                  </w:r>
                </w:p>
              </w:tc>
              <w:tc>
                <w:tcPr>
                  <w:tcW w:w="534"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废弃物污染</w:t>
                  </w:r>
                </w:p>
              </w:tc>
              <w:tc>
                <w:tcPr>
                  <w:tcW w:w="1923" w:type="pct"/>
                  <w:noWrap w:val="0"/>
                  <w:tcMar>
                    <w:top w:w="20" w:type="dxa"/>
                    <w:left w:w="20" w:type="dxa"/>
                    <w:bottom w:w="0" w:type="dxa"/>
                    <w:right w:w="20" w:type="dxa"/>
                  </w:tcMar>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1.加强宣传教育，提高思想认识；</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2.配置专业容器，强化垃圾分类；</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3.完善制度规定，落实防护责任。</w:t>
                  </w: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辨识与风险评价控制程序》要求，由服务部负责编制《危险源辨识及风险评价表》，指导各职能部门（基层单位）开展危险、有害因素风险识别、评价，负责各职能部门（基层单位）风险评价记录的审查与控制效果有效性验证。组织有建立、更新《</w:t>
            </w:r>
            <w:r>
              <w:rPr>
                <w:rFonts w:ascii="Times New Roman" w:hAnsi="Times New Roman" w:eastAsia="华文中宋"/>
                <w:sz w:val="28"/>
                <w:szCs w:val="28"/>
              </w:rPr>
              <w:t>不可接受风险登记表</w:t>
            </w:r>
            <w:r>
              <w:rPr>
                <w:rFonts w:hint="eastAsia" w:ascii="楷体" w:hAnsi="楷体" w:eastAsia="楷体" w:cs="Times New Roman"/>
                <w:color w:val="auto"/>
                <w:lang w:val="en-US" w:eastAsia="zh-CN"/>
              </w:rPr>
              <w:t>》。内容如下：</w:t>
            </w:r>
          </w:p>
          <w:tbl>
            <w:tblPr>
              <w:tblStyle w:val="13"/>
              <w:tblpPr w:leftFromText="180" w:rightFromText="180" w:vertAnchor="page" w:horzAnchor="page" w:tblpX="829" w:tblpY="2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2"/>
              <w:gridCol w:w="1512"/>
              <w:gridCol w:w="1788"/>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4222" w:type="dxa"/>
                  <w:tcBorders>
                    <w:top w:val="single" w:color="auto" w:sz="4" w:space="0"/>
                    <w:left w:val="single" w:color="auto" w:sz="4" w:space="0"/>
                    <w:bottom w:val="single" w:color="auto" w:sz="4" w:space="0"/>
                    <w:right w:val="single" w:color="auto" w:sz="4" w:space="0"/>
                  </w:tcBorders>
                  <w:shd w:val="clear" w:color="auto" w:fill="D9D9D9"/>
                  <w:tcMar>
                    <w:top w:w="20" w:type="dxa"/>
                    <w:left w:w="20" w:type="dxa"/>
                    <w:right w:w="20" w:type="dxa"/>
                  </w:tcMar>
                  <w:vAlign w:val="center"/>
                </w:tcPr>
                <w:p>
                  <w:pPr>
                    <w:ind w:left="-14" w:leftChars="-51" w:hanging="93" w:hangingChars="44"/>
                    <w:jc w:val="center"/>
                    <w:rPr>
                      <w:rFonts w:ascii="仿宋_GB2312" w:hAnsi="仿宋_GB2312" w:eastAsia="仿宋_GB2312" w:cs="仿宋_GB2312"/>
                      <w:b/>
                      <w:szCs w:val="21"/>
                    </w:rPr>
                  </w:pPr>
                  <w:r>
                    <w:rPr>
                      <w:rFonts w:hint="eastAsia" w:ascii="仿宋_GB2312" w:hAnsi="仿宋_GB2312" w:eastAsia="仿宋_GB2312" w:cs="仿宋_GB2312"/>
                      <w:b/>
                      <w:szCs w:val="21"/>
                    </w:rPr>
                    <w:t>服务/活动/设施</w:t>
                  </w:r>
                </w:p>
              </w:tc>
              <w:tc>
                <w:tcPr>
                  <w:tcW w:w="1512" w:type="dxa"/>
                  <w:tcBorders>
                    <w:top w:val="single" w:color="auto" w:sz="4" w:space="0"/>
                    <w:left w:val="single" w:color="auto" w:sz="4" w:space="0"/>
                    <w:bottom w:val="single" w:color="auto" w:sz="4" w:space="0"/>
                    <w:right w:val="single" w:color="auto" w:sz="4" w:space="0"/>
                  </w:tcBorders>
                  <w:shd w:val="clear" w:color="auto" w:fill="D9D9D9"/>
                  <w:tcMar>
                    <w:top w:w="20" w:type="dxa"/>
                    <w:left w:w="20" w:type="dxa"/>
                    <w:right w:w="20" w:type="dxa"/>
                  </w:tcMar>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不可接受风险</w:t>
                  </w:r>
                </w:p>
              </w:tc>
              <w:tc>
                <w:tcPr>
                  <w:tcW w:w="1788" w:type="dxa"/>
                  <w:tcBorders>
                    <w:top w:val="single" w:color="auto" w:sz="4" w:space="0"/>
                    <w:left w:val="single" w:color="auto" w:sz="4" w:space="0"/>
                    <w:bottom w:val="single" w:color="auto" w:sz="4" w:space="0"/>
                    <w:right w:val="single" w:color="auto" w:sz="4" w:space="0"/>
                  </w:tcBorders>
                  <w:shd w:val="clear" w:color="auto" w:fill="D9D9D9"/>
                  <w:tcMar>
                    <w:top w:w="20" w:type="dxa"/>
                    <w:left w:w="20" w:type="dxa"/>
                    <w:right w:w="20" w:type="dxa"/>
                  </w:tcMar>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预知的后果</w:t>
                  </w:r>
                </w:p>
              </w:tc>
              <w:tc>
                <w:tcPr>
                  <w:tcW w:w="3842"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4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楼内消防通道堵塞、重点防火部位吸烟、设备线路短路</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火灾</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人员伤亡</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目标控制</w:t>
                  </w:r>
                </w:p>
                <w:p>
                  <w:pPr>
                    <w:jc w:val="center"/>
                    <w:rPr>
                      <w:rFonts w:ascii="仿宋_GB2312" w:eastAsia="仿宋_GB2312"/>
                    </w:rPr>
                  </w:pPr>
                  <w:r>
                    <w:rPr>
                      <w:rFonts w:hint="eastAsia" w:ascii="仿宋_GB2312" w:eastAsia="仿宋_GB2312"/>
                    </w:rPr>
                    <w:t>消防法规宣传</w:t>
                  </w:r>
                </w:p>
                <w:p>
                  <w:pPr>
                    <w:jc w:val="center"/>
                    <w:rPr>
                      <w:rFonts w:ascii="仿宋_GB2312" w:eastAsia="仿宋_GB2312"/>
                    </w:rPr>
                  </w:pPr>
                  <w:r>
                    <w:rPr>
                      <w:rFonts w:ascii="仿宋_GB2312" w:eastAsia="仿宋_GB2312"/>
                    </w:rPr>
                    <w:t>应急准备和响应控制程序</w:t>
                  </w:r>
                </w:p>
                <w:p>
                  <w:pPr>
                    <w:jc w:val="center"/>
                    <w:rPr>
                      <w:rFonts w:ascii="仿宋_GB2312" w:eastAsia="仿宋_GB2312"/>
                    </w:rPr>
                  </w:pPr>
                  <w:r>
                    <w:rPr>
                      <w:rFonts w:hint="eastAsia" w:ascii="仿宋_GB2312" w:eastAsia="仿宋_GB2312"/>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4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未按规定安装漏电保护装置或电气保护装置失灵，接地不良，乱搭乱接用电线路，违章作业。</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触电</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人员伤亡</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目标控制</w:t>
                  </w:r>
                </w:p>
                <w:p>
                  <w:pPr>
                    <w:jc w:val="center"/>
                    <w:rPr>
                      <w:rFonts w:ascii="仿宋_GB2312" w:eastAsia="仿宋_GB2312"/>
                    </w:rPr>
                  </w:pPr>
                  <w:r>
                    <w:rPr>
                      <w:rFonts w:hint="eastAsia" w:ascii="仿宋_GB2312" w:eastAsia="仿宋_GB2312"/>
                    </w:rPr>
                    <w:t>管理方案</w:t>
                  </w:r>
                </w:p>
                <w:p>
                  <w:pPr>
                    <w:jc w:val="center"/>
                    <w:rPr>
                      <w:rFonts w:ascii="仿宋_GB2312" w:eastAsia="仿宋_GB2312"/>
                    </w:rPr>
                  </w:pPr>
                  <w:r>
                    <w:rPr>
                      <w:rFonts w:hint="eastAsia" w:ascii="仿宋_GB2312" w:eastAsia="仿宋_GB2312"/>
                    </w:rPr>
                    <w:t>运行控制</w:t>
                  </w:r>
                </w:p>
                <w:p>
                  <w:pPr>
                    <w:jc w:val="center"/>
                    <w:rPr>
                      <w:rFonts w:ascii="仿宋_GB2312" w:eastAsia="仿宋_GB2312"/>
                    </w:rPr>
                  </w:pPr>
                  <w:r>
                    <w:rPr>
                      <w:rFonts w:hint="eastAsia" w:ascii="仿宋_GB2312" w:eastAsia="仿宋_GB2312"/>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4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lang w:eastAsia="zh-CN"/>
                    </w:rPr>
                  </w:pPr>
                  <w:r>
                    <w:rPr>
                      <w:rFonts w:hint="eastAsia" w:ascii="仿宋_GB2312" w:eastAsia="仿宋_GB2312"/>
                      <w:lang w:eastAsia="zh-CN"/>
                    </w:rPr>
                    <w:t>人员管控/日常巡逻制止违规、违法行为遭到暴力反抗、袭击</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 xml:space="preserve"> </w:t>
                  </w:r>
                  <w:r>
                    <w:rPr>
                      <w:rFonts w:hint="eastAsia" w:ascii="仿宋_GB2312" w:eastAsia="仿宋_GB2312"/>
                      <w:lang w:eastAsia="zh-CN"/>
                    </w:rPr>
                    <w:t>意外伤害事故</w:t>
                  </w:r>
                  <w:r>
                    <w:rPr>
                      <w:rFonts w:hint="eastAsia" w:ascii="仿宋_GB2312" w:eastAsia="仿宋_GB2312"/>
                    </w:rPr>
                    <w:tab/>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人员伤亡</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运行控制</w:t>
                  </w:r>
                </w:p>
                <w:p>
                  <w:pPr>
                    <w:jc w:val="center"/>
                    <w:rPr>
                      <w:rFonts w:ascii="仿宋_GB2312" w:eastAsia="仿宋_GB2312"/>
                    </w:rPr>
                  </w:pPr>
                  <w:r>
                    <w:rPr>
                      <w:rFonts w:hint="eastAsia" w:ascii="仿宋_GB2312" w:eastAsia="仿宋_GB2312"/>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trPr>
              <w:tc>
                <w:tcPr>
                  <w:tcW w:w="4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接触新冠病毒人员不注意个人卫生导致病毒传播病毒滋生与传播</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新冠疫情导致的人身伤害</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人员伤亡</w:t>
                  </w:r>
                </w:p>
              </w:tc>
              <w:tc>
                <w:tcPr>
                  <w:tcW w:w="384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eastAsia="仿宋_GB2312"/>
                    </w:rPr>
                  </w:pPr>
                  <w:r>
                    <w:rPr>
                      <w:rFonts w:hint="eastAsia" w:ascii="仿宋_GB2312" w:eastAsia="仿宋_GB2312"/>
                    </w:rPr>
                    <w:t>运行控制</w:t>
                  </w:r>
                </w:p>
                <w:p>
                  <w:pPr>
                    <w:pStyle w:val="4"/>
                    <w:snapToGrid/>
                    <w:spacing w:line="240" w:lineRule="auto"/>
                    <w:ind w:left="240" w:hanging="240"/>
                    <w:rPr>
                      <w:rFonts w:ascii="仿宋_GB2312" w:hAnsi="Calibri" w:eastAsia="仿宋_GB2312" w:cs="Calibri"/>
                      <w:sz w:val="21"/>
                      <w:szCs w:val="24"/>
                    </w:rPr>
                  </w:pPr>
                  <w:r>
                    <w:rPr>
                      <w:rFonts w:hint="eastAsia" w:ascii="仿宋_GB2312" w:hAnsi="Calibri" w:eastAsia="仿宋_GB2312" w:cs="Calibri"/>
                      <w:sz w:val="21"/>
                      <w:szCs w:val="24"/>
                    </w:rPr>
                    <w:t>新冠应急预案</w:t>
                  </w:r>
                </w:p>
                <w:p>
                  <w:pPr>
                    <w:jc w:val="center"/>
                    <w:rPr>
                      <w:rFonts w:ascii="仿宋_GB2312" w:eastAsia="仿宋_GB2312"/>
                    </w:rPr>
                  </w:pPr>
                  <w:r>
                    <w:rPr>
                      <w:rFonts w:hint="eastAsia" w:ascii="仿宋_GB2312" w:eastAsia="仿宋_GB2312"/>
                    </w:rPr>
                    <w:t>发放口罩等防护用品</w:t>
                  </w:r>
                </w:p>
              </w:tc>
            </w:tr>
          </w:tbl>
          <w:p>
            <w:pPr>
              <w:rPr>
                <w:rFonts w:hint="default" w:ascii="Times New Roman" w:hAnsi="Times New Roman" w:eastAsia="宋体" w:cs="Times New Roman"/>
                <w:kern w:val="2"/>
                <w:sz w:val="21"/>
                <w:szCs w:val="21"/>
                <w:lang w:val="en-US" w:eastAsia="zh-CN" w:bidi="ar-SA"/>
              </w:rPr>
            </w:pPr>
            <w:r>
              <w:rPr>
                <w:rFonts w:hint="eastAsia" w:ascii="楷体" w:hAnsi="楷体" w:eastAsia="楷体" w:cs="Times New Roman"/>
                <w:color w:val="auto"/>
                <w:lang w:val="en-US" w:eastAsia="zh-CN"/>
              </w:rPr>
              <w:t>组织的职业健康安全风险与危险源辨识清单判定的内容一致，服务部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7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370" w:type="dxa"/>
            <w:vAlign w:val="top"/>
          </w:tcPr>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基础设施</w:t>
            </w:r>
          </w:p>
        </w:tc>
        <w:tc>
          <w:tcPr>
            <w:tcW w:w="954" w:type="dxa"/>
            <w:vAlign w:val="top"/>
          </w:tcPr>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7.1.3</w:t>
            </w:r>
          </w:p>
        </w:tc>
        <w:tc>
          <w:tcPr>
            <w:tcW w:w="11590" w:type="dxa"/>
            <w:vAlign w:val="top"/>
          </w:tcPr>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基础设施包括：办公用房、办公设施，仓库、服务设备等</w:t>
            </w:r>
          </w:p>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生产主要设备有：垃圾清运车、电动巡逻车、打印机等。</w:t>
            </w:r>
          </w:p>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主要检测设备 无。</w:t>
            </w:r>
          </w:p>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以上设备、工装、检具满足生产需要。</w:t>
            </w:r>
          </w:p>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提供了“设备管理台账”、“设备维护保养记录表”及相关维修记录，查2022年7月15日对垃圾清运车进行清洁、查轮胎气压、刹车制动是否正常，视频查看车间设备完好，维护保养基本得当，能够满足生产的需要。</w:t>
            </w:r>
          </w:p>
          <w:p>
            <w:pPr>
              <w:spacing w:line="28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经查基本符合要求。</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vAlign w:val="top"/>
          </w:tcPr>
          <w:p>
            <w:pPr>
              <w:spacing w:line="280" w:lineRule="exact"/>
              <w:rPr>
                <w:rFonts w:hint="eastAsia" w:ascii="宋体" w:hAnsi="宋体" w:cs="宋体"/>
                <w:szCs w:val="21"/>
              </w:rPr>
            </w:pPr>
            <w:r>
              <w:rPr>
                <w:rFonts w:hint="eastAsia" w:ascii="宋体" w:hAnsi="宋体" w:cs="宋体"/>
                <w:szCs w:val="21"/>
              </w:rPr>
              <w:t>运行环境</w:t>
            </w:r>
          </w:p>
          <w:p>
            <w:pPr>
              <w:spacing w:line="280" w:lineRule="exact"/>
              <w:rPr>
                <w:rFonts w:hint="default" w:ascii="宋体" w:hAnsi="宋体" w:eastAsia="宋体" w:cs="宋体"/>
                <w:kern w:val="2"/>
                <w:sz w:val="21"/>
                <w:szCs w:val="21"/>
                <w:lang w:val="en-US" w:eastAsia="zh-CN" w:bidi="ar-SA"/>
              </w:rPr>
            </w:pPr>
          </w:p>
        </w:tc>
        <w:tc>
          <w:tcPr>
            <w:tcW w:w="0" w:type="auto"/>
            <w:vAlign w:val="top"/>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7.1.4</w:t>
            </w:r>
          </w:p>
          <w:p>
            <w:pPr>
              <w:spacing w:line="280" w:lineRule="exact"/>
              <w:rPr>
                <w:rFonts w:hint="default" w:ascii="宋体" w:hAnsi="宋体" w:eastAsia="宋体" w:cs="宋体"/>
                <w:kern w:val="2"/>
                <w:sz w:val="21"/>
                <w:szCs w:val="21"/>
                <w:lang w:val="en-US" w:eastAsia="zh-CN" w:bidi="ar-SA"/>
              </w:rPr>
            </w:pPr>
          </w:p>
        </w:tc>
        <w:tc>
          <w:tcPr>
            <w:tcW w:w="0" w:type="auto"/>
            <w:vAlign w:val="center"/>
          </w:tcPr>
          <w:p>
            <w:pPr>
              <w:spacing w:line="280" w:lineRule="exact"/>
              <w:ind w:firstLine="210" w:firstLineChars="100"/>
              <w:rPr>
                <w:rFonts w:hint="default" w:ascii="宋体" w:hAnsi="宋体" w:eastAsia="宋体" w:cs="宋体"/>
                <w:szCs w:val="21"/>
                <w:lang w:val="en-US" w:eastAsia="zh-CN"/>
              </w:rPr>
            </w:pPr>
            <w:r>
              <w:rPr>
                <w:rFonts w:hint="eastAsia" w:ascii="宋体" w:hAnsi="宋体" w:cs="宋体"/>
                <w:szCs w:val="21"/>
              </w:rPr>
              <w:t>目前公司主要上门提供服务，因此组织无相应的场所要求。公司办公场所位于</w:t>
            </w:r>
            <w:bookmarkStart w:id="0" w:name="生产地址"/>
            <w:r>
              <w:rPr>
                <w:rFonts w:asciiTheme="minorEastAsia" w:hAnsiTheme="minorEastAsia" w:eastAsiaTheme="minorEastAsia"/>
                <w:sz w:val="20"/>
              </w:rPr>
              <w:t>上海市虹口区凉城路847弄39号402室</w:t>
            </w:r>
            <w:bookmarkEnd w:id="0"/>
            <w:r>
              <w:rPr>
                <w:rFonts w:hint="eastAsia" w:ascii="宋体" w:hAnsi="宋体" w:cs="宋体"/>
                <w:szCs w:val="21"/>
              </w:rPr>
              <w:t>；</w:t>
            </w:r>
            <w:r>
              <w:rPr>
                <w:rFonts w:hint="eastAsia" w:ascii="宋体" w:hAnsi="宋体" w:cs="宋体"/>
                <w:szCs w:val="21"/>
                <w:lang w:val="en-US" w:eastAsia="zh-CN"/>
              </w:rPr>
              <w:t xml:space="preserve">提供的服务场所为凉城新村街道市容管理服务（北片）  位置：上海市虹口区人民政府凉城新村街道办事处；现场办公环境整洁，舒适； </w:t>
            </w:r>
          </w:p>
          <w:p>
            <w:pPr>
              <w:spacing w:line="280" w:lineRule="exact"/>
              <w:ind w:left="210" w:leftChars="100" w:firstLine="210" w:firstLineChars="1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服务</w:t>
            </w:r>
            <w:r>
              <w:rPr>
                <w:rFonts w:hint="eastAsia" w:ascii="宋体" w:hAnsi="宋体" w:cs="宋体"/>
                <w:szCs w:val="21"/>
              </w:rPr>
              <w:t>过程涉及的监视测量设备主要为各类</w:t>
            </w:r>
            <w:r>
              <w:rPr>
                <w:rFonts w:hint="eastAsia" w:ascii="宋体" w:hAnsi="宋体" w:cs="宋体"/>
                <w:szCs w:val="21"/>
                <w:lang w:val="en-US" w:eastAsia="zh-CN"/>
              </w:rPr>
              <w:t>办公用品；对讲机、巡逻车、记录仪等；场所的</w:t>
            </w:r>
            <w:r>
              <w:rPr>
                <w:rFonts w:hint="eastAsia" w:ascii="宋体" w:hAnsi="宋体" w:cs="宋体"/>
                <w:szCs w:val="21"/>
              </w:rPr>
              <w:t>监控摄像头</w:t>
            </w:r>
            <w:r>
              <w:rPr>
                <w:rFonts w:hint="eastAsia" w:ascii="宋体" w:hAnsi="宋体" w:cs="宋体"/>
                <w:szCs w:val="21"/>
                <w:lang w:val="en-US" w:eastAsia="zh-CN"/>
              </w:rPr>
              <w:t>为业主所有，供服务部使用，</w:t>
            </w:r>
            <w:r>
              <w:rPr>
                <w:rFonts w:hint="eastAsia" w:ascii="宋体" w:hAnsi="宋体" w:cs="宋体"/>
                <w:szCs w:val="21"/>
              </w:rPr>
              <w:t>已进行罗列</w:t>
            </w:r>
            <w:r>
              <w:rPr>
                <w:rFonts w:hint="eastAsia" w:ascii="宋体" w:hAnsi="宋体" w:cs="宋体"/>
                <w:szCs w:val="21"/>
                <w:lang w:eastAsia="zh-CN"/>
              </w:rPr>
              <w:t>。</w:t>
            </w:r>
          </w:p>
        </w:tc>
        <w:tc>
          <w:tcPr>
            <w:tcW w:w="0" w:type="auto"/>
            <w:vAlign w:val="top"/>
          </w:tcPr>
          <w:p>
            <w:r>
              <w:rPr>
                <w:rFonts w:hint="eastAsia"/>
              </w:rPr>
              <w:t>Y</w:t>
            </w:r>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运行策划和控制</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Q:8.1</w:t>
            </w:r>
          </w:p>
        </w:tc>
        <w:tc>
          <w:tcPr>
            <w:tcW w:w="0" w:type="auto"/>
            <w:vAlign w:val="top"/>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对于管理体系覆盖范围内常规城市市容管理服务，公司已在管理体系运行之初进行了</w:t>
            </w:r>
            <w:r>
              <w:rPr>
                <w:sz w:val="20"/>
              </w:rPr>
              <w:t>城市市容管理服务</w:t>
            </w:r>
            <w:r>
              <w:rPr>
                <w:rFonts w:hint="eastAsia" w:ascii="宋体" w:hAnsi="宋体" w:cs="宋体"/>
                <w:szCs w:val="21"/>
              </w:rPr>
              <w:t>实现的策划，形成的各类文件《</w:t>
            </w:r>
            <w:r>
              <w:rPr>
                <w:rFonts w:hint="eastAsia" w:ascii="宋体" w:hAnsi="宋体"/>
                <w:color w:val="auto"/>
                <w:szCs w:val="21"/>
                <w:highlight w:val="none"/>
              </w:rPr>
              <w:t>人力资源控制程序</w:t>
            </w:r>
            <w:r>
              <w:rPr>
                <w:rFonts w:hint="eastAsia" w:ascii="宋体" w:hAnsi="宋体" w:cs="宋体"/>
                <w:szCs w:val="21"/>
              </w:rPr>
              <w:t>》、《</w:t>
            </w:r>
            <w:r>
              <w:rPr>
                <w:rFonts w:hint="eastAsia" w:ascii="宋体" w:hAnsi="宋体"/>
                <w:color w:val="auto"/>
                <w:szCs w:val="21"/>
                <w:highlight w:val="none"/>
              </w:rPr>
              <w:t>与顾客有关的过程控制程序</w:t>
            </w:r>
            <w:r>
              <w:rPr>
                <w:rFonts w:hint="eastAsia" w:ascii="宋体" w:hAnsi="宋体" w:cs="宋体"/>
                <w:szCs w:val="21"/>
              </w:rPr>
              <w:t>》、《</w:t>
            </w:r>
            <w:r>
              <w:rPr>
                <w:rFonts w:hint="eastAsia" w:ascii="宋体" w:hAnsi="宋体"/>
                <w:color w:val="auto"/>
                <w:szCs w:val="21"/>
                <w:highlight w:val="none"/>
              </w:rPr>
              <w:t>监视和测量设备控制程序</w:t>
            </w:r>
            <w:r>
              <w:rPr>
                <w:rFonts w:hint="eastAsia" w:ascii="宋体" w:hAnsi="宋体" w:cs="宋体"/>
                <w:szCs w:val="21"/>
              </w:rPr>
              <w:t>》、</w:t>
            </w:r>
            <w:r>
              <w:rPr>
                <w:rFonts w:hint="eastAsia" w:ascii="宋体" w:hAnsi="宋体" w:cs="宋体"/>
                <w:szCs w:val="21"/>
                <w:lang w:eastAsia="zh-CN"/>
              </w:rPr>
              <w:t>《</w:t>
            </w:r>
            <w:r>
              <w:rPr>
                <w:rFonts w:hint="eastAsia" w:ascii="宋体" w:hAnsi="宋体"/>
                <w:color w:val="auto"/>
                <w:szCs w:val="21"/>
                <w:highlight w:val="none"/>
              </w:rPr>
              <w:t>相关方服务和施加影响控制程序</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strike w:val="0"/>
                <w:dstrike w:val="0"/>
                <w:color w:val="auto"/>
                <w:szCs w:val="21"/>
                <w:highlight w:val="none"/>
              </w:rPr>
              <w:t>交通安全控制程序</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strike w:val="0"/>
                <w:dstrike w:val="0"/>
                <w:color w:val="auto"/>
                <w:szCs w:val="21"/>
                <w:highlight w:val="none"/>
              </w:rPr>
              <w:t>应急准备与响应控制程序</w:t>
            </w:r>
            <w:r>
              <w:rPr>
                <w:rFonts w:hint="eastAsia" w:ascii="宋体" w:hAnsi="宋体" w:cs="宋体"/>
                <w:szCs w:val="21"/>
                <w:lang w:eastAsia="zh-CN"/>
              </w:rPr>
              <w:t>》</w:t>
            </w:r>
            <w:r>
              <w:rPr>
                <w:rFonts w:hint="eastAsia" w:ascii="宋体" w:hAnsi="宋体" w:cs="宋体"/>
                <w:szCs w:val="21"/>
              </w:rPr>
              <w:t>等十多份作用指导文件</w:t>
            </w:r>
            <w:r>
              <w:rPr>
                <w:rFonts w:hint="eastAsia" w:ascii="宋体" w:hAnsi="宋体" w:cs="宋体"/>
                <w:szCs w:val="21"/>
                <w:lang w:val="en-US" w:eastAsia="zh-CN"/>
              </w:rPr>
              <w:t>。</w:t>
            </w:r>
          </w:p>
          <w:p>
            <w:pPr>
              <w:spacing w:line="280" w:lineRule="exact"/>
              <w:ind w:firstLine="420" w:firstLineChars="200"/>
              <w:rPr>
                <w:rFonts w:hint="eastAsia" w:ascii="宋体" w:hAnsi="宋体" w:cs="宋体"/>
                <w:szCs w:val="21"/>
              </w:rPr>
            </w:pPr>
            <w:r>
              <w:rPr>
                <w:rFonts w:hint="eastAsia"/>
                <w:color w:val="000000"/>
                <w:szCs w:val="21"/>
              </w:rPr>
              <w:t>目前针对</w:t>
            </w:r>
            <w:r>
              <w:rPr>
                <w:rFonts w:hint="eastAsia"/>
                <w:color w:val="000000"/>
                <w:szCs w:val="21"/>
                <w:lang w:eastAsia="zh-CN"/>
              </w:rPr>
              <w:t>城市市容管理服务</w:t>
            </w:r>
            <w:r>
              <w:rPr>
                <w:color w:val="000000"/>
                <w:szCs w:val="21"/>
              </w:rPr>
              <w:t>及相关活动</w:t>
            </w:r>
            <w:r>
              <w:rPr>
                <w:rFonts w:hint="eastAsia"/>
                <w:color w:val="000000"/>
                <w:szCs w:val="21"/>
              </w:rPr>
              <w:t>没有专项标准，主要客户要求为主，适用的法规包括</w:t>
            </w:r>
            <w:r>
              <w:rPr>
                <w:rFonts w:hint="eastAsia"/>
                <w:color w:val="000000"/>
                <w:szCs w:val="21"/>
                <w:lang w:val="en-US" w:eastAsia="zh-CN"/>
              </w:rPr>
              <w:t>城市市容和环境卫生管理条例、市容环境卫生术语标准、城市容貌规范</w:t>
            </w:r>
            <w:r>
              <w:rPr>
                <w:rFonts w:hint="eastAsia"/>
                <w:color w:val="000000"/>
                <w:szCs w:val="21"/>
              </w:rPr>
              <w:t>等。组织策划了</w:t>
            </w:r>
            <w:r>
              <w:rPr>
                <w:rFonts w:hint="eastAsia" w:ascii="宋体" w:hAnsi="宋体" w:cs="宋体"/>
                <w:szCs w:val="21"/>
              </w:rPr>
              <w:t>城市市容管理服务</w:t>
            </w:r>
            <w:r>
              <w:rPr>
                <w:rFonts w:hint="eastAsia"/>
                <w:color w:val="000000"/>
                <w:szCs w:val="21"/>
              </w:rPr>
              <w:t>作业指导书、</w:t>
            </w:r>
            <w:r>
              <w:rPr>
                <w:rFonts w:hint="eastAsia" w:ascii="宋体" w:hAnsi="宋体" w:cs="宋体"/>
                <w:szCs w:val="21"/>
              </w:rPr>
              <w:t>质量监督与安全管理作业指导书等能确保服务质量的管理。</w:t>
            </w:r>
          </w:p>
          <w:p>
            <w:pPr>
              <w:spacing w:line="280" w:lineRule="exact"/>
              <w:ind w:left="420" w:leftChars="200"/>
              <w:rPr>
                <w:rFonts w:ascii="宋体" w:hAnsi="宋体" w:cs="宋体"/>
                <w:szCs w:val="21"/>
              </w:rPr>
            </w:pPr>
            <w:r>
              <w:rPr>
                <w:rFonts w:hint="eastAsia" w:ascii="宋体" w:hAnsi="宋体" w:cs="宋体"/>
                <w:szCs w:val="21"/>
                <w:lang w:val="en-US" w:eastAsia="zh-CN"/>
              </w:rPr>
              <w:t>策划的</w:t>
            </w:r>
            <w:r>
              <w:rPr>
                <w:rFonts w:hint="eastAsia" w:ascii="宋体" w:hAnsi="宋体" w:cs="宋体"/>
                <w:szCs w:val="21"/>
              </w:rPr>
              <w:t>基本服务流程：</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eastAsia="zh-CN"/>
              </w:rPr>
              <w:t>业务洽谈→签订合同→</w:t>
            </w:r>
            <w:r>
              <w:rPr>
                <w:rFonts w:hint="eastAsia" w:ascii="宋体" w:hAnsi="宋体" w:cs="宋体"/>
                <w:szCs w:val="21"/>
                <w:lang w:val="en-US" w:eastAsia="zh-CN"/>
              </w:rPr>
              <w:t>服务策划</w:t>
            </w:r>
            <w:r>
              <w:rPr>
                <w:rFonts w:hint="eastAsia" w:ascii="宋体" w:hAnsi="宋体" w:cs="宋体"/>
                <w:szCs w:val="21"/>
                <w:lang w:eastAsia="zh-CN"/>
              </w:rPr>
              <w:t>→</w:t>
            </w:r>
            <w:r>
              <w:rPr>
                <w:rFonts w:hint="eastAsia" w:ascii="宋体" w:hAnsi="宋体" w:cs="宋体"/>
                <w:szCs w:val="21"/>
                <w:lang w:val="en-US" w:eastAsia="zh-CN"/>
              </w:rPr>
              <w:t>进驻现场</w:t>
            </w:r>
            <w:r>
              <w:rPr>
                <w:rFonts w:hint="eastAsia" w:ascii="宋体" w:hAnsi="宋体" w:cs="宋体"/>
                <w:szCs w:val="21"/>
                <w:lang w:eastAsia="zh-CN"/>
              </w:rPr>
              <w:t>→</w:t>
            </w:r>
            <w:r>
              <w:rPr>
                <w:rFonts w:hint="eastAsia" w:ascii="宋体" w:hAnsi="宋体" w:cs="宋体"/>
                <w:szCs w:val="21"/>
                <w:lang w:val="en-US" w:eastAsia="zh-CN"/>
              </w:rPr>
              <w:t>进行服务</w:t>
            </w:r>
            <w:r>
              <w:rPr>
                <w:rFonts w:hint="eastAsia" w:ascii="宋体" w:hAnsi="宋体" w:cs="宋体"/>
                <w:szCs w:val="21"/>
                <w:lang w:eastAsia="zh-CN"/>
              </w:rPr>
              <w:t>→</w:t>
            </w:r>
            <w:r>
              <w:rPr>
                <w:rFonts w:hint="eastAsia" w:ascii="宋体" w:hAnsi="宋体" w:cs="宋体"/>
                <w:szCs w:val="21"/>
                <w:lang w:val="en-US" w:eastAsia="zh-CN"/>
              </w:rPr>
              <w:t>服务检查</w:t>
            </w:r>
            <w:r>
              <w:rPr>
                <w:rFonts w:hint="eastAsia" w:ascii="宋体" w:hAnsi="宋体" w:cs="宋体"/>
                <w:szCs w:val="21"/>
                <w:lang w:eastAsia="zh-CN"/>
              </w:rPr>
              <w:t>→持续改进</w:t>
            </w:r>
          </w:p>
          <w:p>
            <w:pPr>
              <w:spacing w:line="280" w:lineRule="exact"/>
              <w:ind w:firstLine="420" w:firstLineChars="200"/>
              <w:rPr>
                <w:rFonts w:ascii="宋体" w:hAnsi="宋体" w:cs="宋体"/>
                <w:szCs w:val="21"/>
              </w:rPr>
            </w:pPr>
            <w:r>
              <w:rPr>
                <w:rFonts w:hint="eastAsia" w:ascii="宋体" w:hAnsi="宋体" w:cs="宋体"/>
                <w:szCs w:val="21"/>
                <w:lang w:eastAsia="zh-CN"/>
              </w:rPr>
              <w:t>城市市容管理服务</w:t>
            </w:r>
            <w:r>
              <w:rPr>
                <w:rFonts w:hint="eastAsia" w:ascii="宋体" w:hAnsi="宋体" w:cs="宋体"/>
                <w:szCs w:val="21"/>
              </w:rPr>
              <w:t>过程中使用的设备：办公室过程使用电话、电脑、网络、复印机等，以上设备配置适宜，能确保服务的实现。所使用的保安的工具，主要由业主方提供，如应急照明灯、对讲机、</w:t>
            </w:r>
            <w:r>
              <w:rPr>
                <w:rFonts w:hint="eastAsia" w:ascii="宋体" w:hAnsi="宋体" w:cs="宋体"/>
                <w:szCs w:val="21"/>
                <w:lang w:val="en-US" w:eastAsia="zh-CN"/>
              </w:rPr>
              <w:t>巡逻车</w:t>
            </w:r>
            <w:r>
              <w:rPr>
                <w:rFonts w:hint="eastAsia" w:ascii="宋体" w:hAnsi="宋体" w:cs="宋体"/>
                <w:szCs w:val="21"/>
              </w:rPr>
              <w:t>、</w:t>
            </w:r>
            <w:r>
              <w:rPr>
                <w:rFonts w:hint="eastAsia" w:ascii="宋体" w:hAnsi="宋体" w:cs="宋体"/>
                <w:szCs w:val="21"/>
                <w:lang w:val="en-US" w:eastAsia="zh-CN"/>
              </w:rPr>
              <w:t>垃圾清运车</w:t>
            </w:r>
            <w:r>
              <w:rPr>
                <w:rFonts w:hint="eastAsia" w:ascii="宋体" w:hAnsi="宋体" w:cs="宋体"/>
                <w:szCs w:val="21"/>
              </w:rPr>
              <w:t>等。</w:t>
            </w:r>
          </w:p>
          <w:p>
            <w:pPr>
              <w:spacing w:line="280" w:lineRule="exact"/>
              <w:ind w:firstLine="420" w:firstLineChars="200"/>
              <w:rPr>
                <w:rFonts w:ascii="宋体" w:hAnsi="宋体" w:cs="宋体"/>
                <w:szCs w:val="21"/>
              </w:rPr>
            </w:pPr>
            <w:r>
              <w:rPr>
                <w:rFonts w:hint="eastAsia" w:ascii="宋体" w:hAnsi="宋体" w:cs="宋体"/>
                <w:szCs w:val="21"/>
              </w:rPr>
              <w:t>检测</w:t>
            </w:r>
            <w:r>
              <w:rPr>
                <w:rFonts w:hint="eastAsia" w:ascii="宋体" w:hAnsi="宋体" w:cs="宋体"/>
                <w:szCs w:val="21"/>
                <w:lang w:eastAsia="zh-CN"/>
              </w:rPr>
              <w:t>城市市容管理服务</w:t>
            </w:r>
            <w:r>
              <w:rPr>
                <w:rFonts w:hint="eastAsia" w:ascii="宋体" w:hAnsi="宋体" w:cs="宋体"/>
                <w:szCs w:val="21"/>
              </w:rPr>
              <w:t>质量情况一般只适用一些</w:t>
            </w:r>
            <w:r>
              <w:rPr>
                <w:rFonts w:hint="eastAsia" w:ascii="宋体" w:hAnsi="宋体" w:cs="宋体"/>
                <w:szCs w:val="21"/>
                <w:lang w:val="en-US" w:eastAsia="zh-CN"/>
              </w:rPr>
              <w:t>监管记录或者考核记录</w:t>
            </w:r>
            <w:r>
              <w:rPr>
                <w:rFonts w:hint="eastAsia" w:ascii="宋体" w:hAnsi="宋体" w:cs="宋体"/>
                <w:szCs w:val="21"/>
              </w:rPr>
              <w:t>等。</w:t>
            </w:r>
          </w:p>
          <w:p>
            <w:pPr>
              <w:spacing w:line="280" w:lineRule="exact"/>
              <w:ind w:firstLine="420" w:firstLineChars="200"/>
              <w:rPr>
                <w:rFonts w:ascii="宋体" w:hAnsi="宋体" w:cs="宋体"/>
                <w:szCs w:val="21"/>
              </w:rPr>
            </w:pPr>
            <w:r>
              <w:rPr>
                <w:rFonts w:hint="eastAsia" w:ascii="宋体" w:hAnsi="宋体" w:cs="宋体"/>
                <w:szCs w:val="21"/>
              </w:rPr>
              <w:t>以上</w:t>
            </w:r>
            <w:r>
              <w:rPr>
                <w:rFonts w:hint="eastAsia" w:ascii="宋体" w:hAnsi="宋体" w:cs="宋体"/>
                <w:szCs w:val="21"/>
                <w:lang w:eastAsia="zh-CN"/>
              </w:rPr>
              <w:t>城市市容管理服务</w:t>
            </w:r>
            <w:r>
              <w:rPr>
                <w:rFonts w:hint="eastAsia" w:ascii="宋体" w:hAnsi="宋体" w:cs="宋体"/>
                <w:szCs w:val="21"/>
              </w:rPr>
              <w:t>实现的策划工作基本符合要求，能确保</w:t>
            </w:r>
            <w:r>
              <w:rPr>
                <w:rFonts w:hint="eastAsia" w:ascii="宋体" w:hAnsi="宋体" w:cs="宋体"/>
                <w:szCs w:val="21"/>
                <w:lang w:eastAsia="zh-CN"/>
              </w:rPr>
              <w:t>城市市容管理服务</w:t>
            </w:r>
            <w:r>
              <w:rPr>
                <w:rFonts w:hint="eastAsia" w:ascii="宋体" w:hAnsi="宋体" w:cs="宋体"/>
                <w:szCs w:val="21"/>
              </w:rPr>
              <w:t>实现和目标的实现。</w:t>
            </w:r>
          </w:p>
          <w:p>
            <w:pPr>
              <w:spacing w:line="280" w:lineRule="exact"/>
              <w:ind w:firstLine="420" w:firstLineChars="200"/>
              <w:rPr>
                <w:rFonts w:ascii="宋体" w:hAnsi="宋体" w:cs="宋体"/>
                <w:szCs w:val="21"/>
              </w:rPr>
            </w:pPr>
            <w:r>
              <w:rPr>
                <w:rFonts w:hint="eastAsia" w:ascii="宋体" w:hAnsi="宋体" w:cs="宋体"/>
                <w:szCs w:val="21"/>
              </w:rPr>
              <w:t>组织一般针对各顾客要求，制定特定</w:t>
            </w:r>
            <w:r>
              <w:rPr>
                <w:rFonts w:hint="eastAsia" w:ascii="宋体" w:hAnsi="宋体" w:cs="宋体"/>
                <w:szCs w:val="21"/>
                <w:lang w:eastAsia="zh-CN"/>
              </w:rPr>
              <w:t>城市市容管理服务</w:t>
            </w:r>
            <w:r>
              <w:rPr>
                <w:rFonts w:hint="eastAsia" w:ascii="宋体" w:hAnsi="宋体" w:cs="宋体"/>
                <w:szCs w:val="21"/>
              </w:rPr>
              <w:t>和合同。</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宋体" w:hAnsi="宋体" w:cs="宋体"/>
                <w:szCs w:val="21"/>
              </w:rPr>
              <w:t>识别无外包过程。</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top"/>
          </w:tcPr>
          <w:p>
            <w:pPr>
              <w:spacing w:line="280" w:lineRule="exact"/>
              <w:rPr>
                <w:rFonts w:hint="eastAsia" w:ascii="Times New Roman" w:hAnsi="Times New Roman" w:eastAsia="宋体" w:cs="宋体"/>
                <w:kern w:val="2"/>
                <w:sz w:val="21"/>
                <w:szCs w:val="21"/>
                <w:lang w:val="en-US" w:eastAsia="zh-CN" w:bidi="ar-SA"/>
              </w:rPr>
            </w:pPr>
            <w:r>
              <w:rPr>
                <w:rFonts w:hint="eastAsia" w:cs="宋体"/>
                <w:szCs w:val="21"/>
              </w:rPr>
              <w:t>设计和开发</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Q</w:t>
            </w:r>
            <w:r>
              <w:rPr>
                <w:szCs w:val="21"/>
              </w:rPr>
              <w:t>8.3</w:t>
            </w:r>
          </w:p>
        </w:tc>
        <w:tc>
          <w:tcPr>
            <w:tcW w:w="0" w:type="auto"/>
            <w:vAlign w:val="center"/>
          </w:tcPr>
          <w:p>
            <w:pPr>
              <w:spacing w:line="280" w:lineRule="exact"/>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本公司依据国家法律法规及行业规范进行城市市容管理服务，无设计开发环节，</w:t>
            </w:r>
            <w:r>
              <w:rPr>
                <w:rFonts w:hint="eastAsia" w:ascii="宋体" w:hAnsi="宋体" w:cs="宋体"/>
                <w:kern w:val="0"/>
                <w:szCs w:val="21"/>
                <w:lang w:eastAsia="zh-CN"/>
              </w:rPr>
              <w:t>因此GB/T19001-2016标准中8.3条款的不适用，其不影响组织确保提供合格产品和服务及增强顾客满意的能力和责任，也不影响满足适用的法律、法规要求的产品和服务。</w:t>
            </w:r>
            <w:r>
              <w:rPr>
                <w:rFonts w:hint="eastAsia" w:ascii="宋体" w:hAnsi="宋体" w:cs="宋体"/>
                <w:kern w:val="0"/>
                <w:szCs w:val="21"/>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r>
              <w:rPr>
                <w:rFonts w:hint="eastAsia"/>
              </w:rPr>
              <w:t>产品和服务提供的控制</w:t>
            </w:r>
          </w:p>
          <w:p>
            <w:pPr>
              <w:rPr>
                <w:rFonts w:hint="eastAsia"/>
              </w:rPr>
            </w:pPr>
            <w:r>
              <w:rPr>
                <w:rFonts w:hint="eastAsia"/>
              </w:rPr>
              <w:t>标识和追溯管理</w:t>
            </w:r>
          </w:p>
          <w:p>
            <w:pPr>
              <w:pStyle w:val="5"/>
              <w:rPr>
                <w:rFonts w:hint="eastAsia"/>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eastAsia" w:ascii="宋体" w:hAnsi="宋体" w:cs="Arial"/>
                <w:szCs w:val="21"/>
              </w:rPr>
            </w:pPr>
          </w:p>
          <w:p>
            <w:pPr>
              <w:pStyle w:val="6"/>
              <w:rPr>
                <w:rFonts w:hint="default" w:ascii="宋体" w:hAnsi="宋体" w:eastAsia="宋体" w:cs="Arial"/>
                <w:szCs w:val="21"/>
                <w:lang w:val="en-US" w:eastAsia="zh-CN"/>
              </w:rPr>
            </w:pPr>
            <w:r>
              <w:rPr>
                <w:rFonts w:hint="eastAsia" w:hAnsi="宋体" w:cs="Arial"/>
                <w:szCs w:val="21"/>
                <w:lang w:val="en-US" w:eastAsia="zh-CN"/>
              </w:rPr>
              <w:t>服务检查及放行</w:t>
            </w:r>
          </w:p>
        </w:tc>
        <w:tc>
          <w:tcPr>
            <w:tcW w:w="0" w:type="auto"/>
            <w:vAlign w:val="top"/>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p>
            <w:pPr>
              <w:rPr>
                <w:rFonts w:ascii="宋体" w:hAnsi="宋体" w:cs="Arial"/>
                <w:szCs w:val="21"/>
              </w:rPr>
            </w:pPr>
          </w:p>
          <w:p>
            <w:pPr>
              <w:pStyle w:val="5"/>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pStyle w:val="6"/>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8.6</w:t>
            </w:r>
          </w:p>
          <w:p>
            <w:pPr>
              <w:rPr>
                <w:rFonts w:hint="eastAsia" w:ascii="宋体" w:hAnsi="宋体" w:eastAsia="宋体" w:cs="Arial"/>
                <w:kern w:val="2"/>
                <w:sz w:val="21"/>
                <w:szCs w:val="21"/>
                <w:lang w:val="en-US" w:eastAsia="zh-CN" w:bidi="ar-SA"/>
              </w:rPr>
            </w:pPr>
          </w:p>
        </w:tc>
        <w:tc>
          <w:tcPr>
            <w:tcW w:w="0" w:type="auto"/>
            <w:vAlign w:val="center"/>
          </w:tcPr>
          <w:p>
            <w:pPr>
              <w:spacing w:line="280" w:lineRule="exact"/>
              <w:ind w:firstLine="420" w:firstLineChars="200"/>
            </w:pPr>
            <w:r>
              <w:rPr>
                <w:rFonts w:hint="eastAsia"/>
              </w:rPr>
              <w:t>公司产品服务主要为</w:t>
            </w:r>
            <w:r>
              <w:rPr>
                <w:rFonts w:hint="eastAsia"/>
                <w:lang w:eastAsia="zh-CN"/>
              </w:rPr>
              <w:t>城市市容管理服务</w:t>
            </w:r>
            <w:r>
              <w:t>及相关活动</w:t>
            </w:r>
            <w:r>
              <w:rPr>
                <w:rFonts w:hint="eastAsia"/>
              </w:rPr>
              <w:t>。</w:t>
            </w:r>
          </w:p>
          <w:p>
            <w:pPr>
              <w:spacing w:line="280" w:lineRule="exact"/>
              <w:ind w:left="420" w:leftChars="200"/>
            </w:pPr>
            <w:r>
              <w:rPr>
                <w:rFonts w:hint="eastAsia"/>
              </w:rPr>
              <w:t>基本服务流程：</w:t>
            </w:r>
          </w:p>
          <w:p>
            <w:pPr>
              <w:spacing w:line="280" w:lineRule="exact"/>
              <w:ind w:firstLine="420" w:firstLineChars="200"/>
              <w:rPr>
                <w:rFonts w:hint="eastAsia"/>
                <w:lang w:eastAsia="zh-CN"/>
              </w:rPr>
            </w:pPr>
            <w:r>
              <w:rPr>
                <w:rFonts w:hint="eastAsia"/>
                <w:lang w:eastAsia="zh-CN"/>
              </w:rPr>
              <w:t>城市市容管理服务</w:t>
            </w:r>
            <w:r>
              <w:rPr>
                <w:rFonts w:hint="eastAsia"/>
              </w:rPr>
              <w:t>：</w:t>
            </w:r>
            <w:r>
              <w:rPr>
                <w:rFonts w:hint="eastAsia"/>
                <w:lang w:eastAsia="zh-CN"/>
              </w:rPr>
              <w:t>业务洽谈→签订合同→</w:t>
            </w:r>
            <w:r>
              <w:rPr>
                <w:rFonts w:hint="eastAsia"/>
                <w:lang w:val="en-US" w:eastAsia="zh-CN"/>
              </w:rPr>
              <w:t>服务策划</w:t>
            </w:r>
            <w:r>
              <w:rPr>
                <w:rFonts w:hint="eastAsia"/>
                <w:lang w:eastAsia="zh-CN"/>
              </w:rPr>
              <w:t>→</w:t>
            </w:r>
            <w:r>
              <w:rPr>
                <w:rFonts w:hint="eastAsia"/>
                <w:lang w:val="en-US" w:eastAsia="zh-CN"/>
              </w:rPr>
              <w:t>进驻现场</w:t>
            </w:r>
            <w:r>
              <w:rPr>
                <w:rFonts w:hint="eastAsia"/>
                <w:lang w:eastAsia="zh-CN"/>
              </w:rPr>
              <w:t>→</w:t>
            </w:r>
            <w:r>
              <w:rPr>
                <w:rFonts w:hint="eastAsia"/>
                <w:lang w:val="en-US" w:eastAsia="zh-CN"/>
              </w:rPr>
              <w:t>进行服务</w:t>
            </w:r>
            <w:r>
              <w:rPr>
                <w:rFonts w:hint="eastAsia"/>
                <w:lang w:eastAsia="zh-CN"/>
              </w:rPr>
              <w:t>→</w:t>
            </w:r>
            <w:r>
              <w:rPr>
                <w:rFonts w:hint="eastAsia"/>
                <w:lang w:val="en-US" w:eastAsia="zh-CN"/>
              </w:rPr>
              <w:t>服务检查</w:t>
            </w:r>
            <w:r>
              <w:rPr>
                <w:rFonts w:hint="eastAsia"/>
                <w:lang w:eastAsia="zh-CN"/>
              </w:rPr>
              <w:t>→持续改进</w:t>
            </w:r>
          </w:p>
          <w:p>
            <w:pPr>
              <w:spacing w:line="280" w:lineRule="exact"/>
              <w:ind w:firstLine="420" w:firstLineChars="200"/>
            </w:pPr>
            <w:r>
              <w:rPr>
                <w:rFonts w:hint="eastAsia"/>
                <w:lang w:eastAsia="zh-CN"/>
              </w:rPr>
              <w:t>服务部</w:t>
            </w:r>
            <w:r>
              <w:rPr>
                <w:rFonts w:hint="eastAsia"/>
              </w:rPr>
              <w:t>按照策划的流程提供《人力资源控制程序》、《与顾客有关的过程控制程序》、《监视和测量设备控制程序》、</w:t>
            </w:r>
            <w:r>
              <w:rPr>
                <w:rFonts w:hint="eastAsia"/>
                <w:lang w:eastAsia="zh-CN"/>
              </w:rPr>
              <w:t>《</w:t>
            </w:r>
            <w:r>
              <w:rPr>
                <w:rFonts w:hint="eastAsia"/>
              </w:rPr>
              <w:t>相关方服务和施加影响控制程序</w:t>
            </w:r>
            <w:r>
              <w:rPr>
                <w:rFonts w:hint="eastAsia"/>
                <w:lang w:eastAsia="zh-CN"/>
              </w:rPr>
              <w:t>》</w:t>
            </w:r>
            <w:r>
              <w:rPr>
                <w:rFonts w:hint="eastAsia"/>
              </w:rPr>
              <w:t>、</w:t>
            </w:r>
            <w:r>
              <w:rPr>
                <w:rFonts w:hint="eastAsia"/>
                <w:lang w:eastAsia="zh-CN"/>
              </w:rPr>
              <w:t>《</w:t>
            </w:r>
            <w:r>
              <w:rPr>
                <w:rFonts w:hint="eastAsia"/>
              </w:rPr>
              <w:t>交通安全控制程序</w:t>
            </w:r>
            <w:r>
              <w:rPr>
                <w:rFonts w:hint="eastAsia"/>
                <w:lang w:eastAsia="zh-CN"/>
              </w:rPr>
              <w:t>》</w:t>
            </w:r>
            <w:r>
              <w:rPr>
                <w:rFonts w:hint="eastAsia"/>
              </w:rPr>
              <w:t>、</w:t>
            </w:r>
            <w:r>
              <w:rPr>
                <w:rFonts w:hint="eastAsia"/>
                <w:lang w:eastAsia="zh-CN"/>
              </w:rPr>
              <w:t>《</w:t>
            </w:r>
            <w:r>
              <w:rPr>
                <w:rFonts w:hint="eastAsia"/>
              </w:rPr>
              <w:t>应急准备与响应控制程序</w:t>
            </w:r>
            <w:r>
              <w:rPr>
                <w:rFonts w:hint="eastAsia"/>
                <w:lang w:eastAsia="zh-CN"/>
              </w:rPr>
              <w:t>》</w:t>
            </w:r>
            <w:r>
              <w:rPr>
                <w:rFonts w:hint="eastAsia"/>
              </w:rPr>
              <w:t>、</w:t>
            </w:r>
            <w:r>
              <w:rPr>
                <w:rFonts w:hint="eastAsia"/>
                <w:lang w:eastAsia="zh-CN"/>
              </w:rPr>
              <w:t>城市市容管理服务</w:t>
            </w:r>
            <w:r>
              <w:rPr>
                <w:rFonts w:hint="eastAsia"/>
              </w:rPr>
              <w:t>管理制度等十多份作用指导文件。产品等信息标识主要见现场管理情况。</w:t>
            </w:r>
          </w:p>
          <w:p>
            <w:pPr>
              <w:spacing w:line="280" w:lineRule="exact"/>
              <w:ind w:firstLine="420" w:firstLineChars="200"/>
              <w:rPr>
                <w:rFonts w:hint="eastAsia"/>
              </w:rPr>
            </w:pPr>
            <w:r>
              <w:rPr>
                <w:rFonts w:hint="eastAsia"/>
              </w:rPr>
              <w:t>抽查202</w:t>
            </w:r>
            <w:r>
              <w:rPr>
                <w:rFonts w:hint="eastAsia"/>
                <w:lang w:val="en-US" w:eastAsia="zh-CN"/>
              </w:rPr>
              <w:t>1</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w:t>
            </w:r>
            <w:r>
              <w:rPr>
                <w:rFonts w:hint="eastAsia"/>
                <w:lang w:val="en-US" w:eastAsia="zh-CN"/>
              </w:rPr>
              <w:t>与上海市虹口区人民政府凉城新村街道办事处</w:t>
            </w:r>
            <w:r>
              <w:rPr>
                <w:rFonts w:hint="eastAsia"/>
              </w:rPr>
              <w:t>签订的</w:t>
            </w:r>
            <w:r>
              <w:rPr>
                <w:rFonts w:hint="eastAsia"/>
                <w:lang w:eastAsia="zh-CN"/>
              </w:rPr>
              <w:t>城市市容管理服务</w:t>
            </w:r>
            <w:r>
              <w:rPr>
                <w:rFonts w:hint="eastAsia"/>
              </w:rPr>
              <w:t>合同执行情况。</w:t>
            </w:r>
          </w:p>
          <w:p>
            <w:pPr>
              <w:spacing w:line="280" w:lineRule="exact"/>
              <w:ind w:firstLine="420" w:firstLineChars="200"/>
              <w:rPr>
                <w:rFonts w:hint="eastAsia"/>
              </w:rPr>
            </w:pPr>
            <w:r>
              <w:rPr>
                <w:rFonts w:hint="eastAsia"/>
                <w:lang w:val="en-US" w:eastAsia="zh-CN"/>
              </w:rPr>
              <w:t xml:space="preserve">1、工作区域：以汶水东路为界的凉城新村街道北部区域 (不含汶水东 路) ，16 个居委 37 个小区及所辖背街小巷等。 </w:t>
            </w:r>
          </w:p>
          <w:p>
            <w:pPr>
              <w:spacing w:line="280" w:lineRule="exact"/>
              <w:ind w:firstLine="420" w:firstLineChars="200"/>
              <w:rPr>
                <w:rFonts w:hint="eastAsia"/>
              </w:rPr>
            </w:pPr>
            <w:r>
              <w:rPr>
                <w:rFonts w:hint="eastAsia"/>
                <w:lang w:val="en-US" w:eastAsia="zh-CN"/>
              </w:rPr>
              <w:t xml:space="preserve">2、工作时间：全天 24 小时。 </w:t>
            </w:r>
          </w:p>
          <w:p>
            <w:pPr>
              <w:spacing w:line="280" w:lineRule="exact"/>
              <w:ind w:firstLine="420" w:firstLineChars="200"/>
              <w:rPr>
                <w:rFonts w:hint="eastAsia"/>
              </w:rPr>
            </w:pPr>
            <w:r>
              <w:rPr>
                <w:rFonts w:hint="eastAsia"/>
                <w:lang w:val="en-US" w:eastAsia="zh-CN"/>
              </w:rPr>
              <w:t>3、配置人数：不少于 8 人，配置一名负责人进行日常工作安排、人员考勤及听从街道相关工作指挥调度</w:t>
            </w:r>
            <w:r>
              <w:rPr>
                <w:rFonts w:hint="eastAsia"/>
              </w:rPr>
              <w:t>。</w:t>
            </w:r>
          </w:p>
          <w:p>
            <w:pPr>
              <w:spacing w:line="280" w:lineRule="exact"/>
              <w:ind w:firstLine="420" w:firstLineChars="200"/>
              <w:rPr>
                <w:rFonts w:hint="eastAsia"/>
              </w:rPr>
            </w:pPr>
            <w:r>
              <w:rPr>
                <w:rFonts w:hint="eastAsia"/>
                <w:lang w:val="en-US" w:eastAsia="zh-CN"/>
              </w:rPr>
              <w:t xml:space="preserve">工作内容： </w:t>
            </w:r>
          </w:p>
          <w:p>
            <w:pPr>
              <w:spacing w:line="280" w:lineRule="exact"/>
              <w:ind w:firstLine="420" w:firstLineChars="200"/>
              <w:rPr>
                <w:rFonts w:hint="eastAsia"/>
              </w:rPr>
            </w:pPr>
            <w:r>
              <w:rPr>
                <w:rFonts w:hint="eastAsia"/>
                <w:lang w:val="en-US" w:eastAsia="zh-CN"/>
              </w:rPr>
              <w:t xml:space="preserve">(1) 服务区域内以固守、巡查为主要工作方式，通过教育、劝导、劝阻以及制止等方式为主开展工作，确保区域内道路、沿街商铺符合《上海市市容环境卫生管理条例》、《上海市市容环境卫生责任区管理办法》等相关要求，街面市容面貌整洁有序； </w:t>
            </w:r>
          </w:p>
          <w:p>
            <w:pPr>
              <w:spacing w:line="280" w:lineRule="exact"/>
              <w:ind w:firstLine="420" w:firstLineChars="200"/>
              <w:rPr>
                <w:rFonts w:hint="eastAsia"/>
              </w:rPr>
            </w:pPr>
            <w:r>
              <w:rPr>
                <w:rFonts w:hint="eastAsia"/>
                <w:lang w:val="en-US" w:eastAsia="zh-CN"/>
              </w:rPr>
              <w:t xml:space="preserve">(2) 对辖区内占用道路、桥梁、轨道交通站点及其他公共场所设摊经营、宣传兜售物品的行为进行劝阻、拦截，确保无乱设摊现象。无法处置的及时报请城管等相关部门处理，确保无设摊集聚的现象； </w:t>
            </w:r>
          </w:p>
          <w:p>
            <w:pPr>
              <w:spacing w:line="280" w:lineRule="exact"/>
              <w:ind w:firstLine="420" w:firstLineChars="200"/>
              <w:rPr>
                <w:rFonts w:hint="eastAsia"/>
              </w:rPr>
            </w:pPr>
            <w:r>
              <w:rPr>
                <w:rFonts w:hint="eastAsia"/>
                <w:lang w:val="en-US" w:eastAsia="zh-CN"/>
              </w:rPr>
              <w:t xml:space="preserve">(3)对街面和广场周围各类亭棚内的经营人超出门窗与墙面线的经营行为进行劝阻，确保无跨门经营现象； </w:t>
            </w:r>
          </w:p>
          <w:p>
            <w:pPr>
              <w:spacing w:line="280" w:lineRule="exact"/>
              <w:ind w:firstLine="420" w:firstLineChars="200"/>
              <w:rPr>
                <w:rFonts w:hint="eastAsia"/>
              </w:rPr>
            </w:pPr>
            <w:r>
              <w:rPr>
                <w:rFonts w:hint="eastAsia"/>
                <w:lang w:val="en-US" w:eastAsia="zh-CN"/>
              </w:rPr>
              <w:t xml:space="preserve">(4) 对主要道路，影响区域及公共场所的乱晾晒、乱悬挂、乱停车、乱搭建、乱招贴、乱堆物等现象及时制止与处置； </w:t>
            </w:r>
          </w:p>
          <w:p>
            <w:pPr>
              <w:spacing w:line="280" w:lineRule="exact"/>
              <w:ind w:firstLine="420" w:firstLineChars="200"/>
              <w:rPr>
                <w:rFonts w:hint="eastAsia"/>
              </w:rPr>
            </w:pPr>
            <w:r>
              <w:rPr>
                <w:rFonts w:hint="eastAsia"/>
                <w:lang w:val="en-US" w:eastAsia="zh-CN"/>
              </w:rPr>
              <w:t xml:space="preserve">(5)对巡查中发现的其他违反相关市容环境法律法规的行为及时制止或上报相关部门； </w:t>
            </w:r>
          </w:p>
          <w:p>
            <w:pPr>
              <w:spacing w:line="280" w:lineRule="exact"/>
              <w:ind w:firstLine="420" w:firstLineChars="200"/>
              <w:rPr>
                <w:rFonts w:hint="eastAsia"/>
              </w:rPr>
            </w:pPr>
            <w:r>
              <w:rPr>
                <w:rFonts w:hint="eastAsia"/>
                <w:lang w:val="en-US" w:eastAsia="zh-CN"/>
              </w:rPr>
              <w:t xml:space="preserve">(6) 对服务区域内发生的各类影响较大的问题和事件及安全隐患等，及时告知甲方和所在街镇，妥善应对。 </w:t>
            </w:r>
          </w:p>
          <w:p>
            <w:pPr>
              <w:spacing w:line="280" w:lineRule="exact"/>
              <w:ind w:firstLine="420" w:firstLineChars="200"/>
              <w:rPr>
                <w:rFonts w:hint="eastAsia"/>
              </w:rPr>
            </w:pPr>
            <w:r>
              <w:rPr>
                <w:rFonts w:hint="eastAsia"/>
                <w:lang w:val="en-US" w:eastAsia="zh-CN"/>
              </w:rPr>
              <w:t xml:space="preserve">(7) 做好背街小巷市容保洁工作，定期清扫并及时清理垃圾杂物，并配合做好街面市容巡查工作，及时处置并上报相关信息。 </w:t>
            </w:r>
          </w:p>
          <w:p>
            <w:pPr>
              <w:spacing w:line="280" w:lineRule="exact"/>
              <w:ind w:firstLine="420" w:firstLineChars="200"/>
              <w:rPr>
                <w:rFonts w:hint="eastAsia"/>
              </w:rPr>
            </w:pPr>
            <w:r>
              <w:rPr>
                <w:rFonts w:hint="eastAsia"/>
                <w:lang w:val="en-US" w:eastAsia="zh-CN"/>
              </w:rPr>
              <w:t xml:space="preserve">(8) 做好巡查工作，要及时发现制止或者处置偷倒垃圾、流动无证设摊、夜间排挡、破坏绿化等行为。 </w:t>
            </w:r>
          </w:p>
          <w:p>
            <w:pPr>
              <w:spacing w:line="280" w:lineRule="exact"/>
              <w:ind w:firstLine="420" w:firstLineChars="200"/>
              <w:rPr>
                <w:rFonts w:hint="eastAsia"/>
              </w:rPr>
            </w:pPr>
            <w:r>
              <w:rPr>
                <w:rFonts w:hint="eastAsia"/>
                <w:lang w:val="en-US" w:eastAsia="zh-CN"/>
              </w:rPr>
              <w:t xml:space="preserve">(9) 对工作区域沿街商铺的垃圾分类工作开展每日两次巡查，并将情况上报至相关工作群。 </w:t>
            </w:r>
          </w:p>
          <w:p>
            <w:pPr>
              <w:spacing w:line="280" w:lineRule="exact"/>
              <w:ind w:firstLine="420" w:firstLineChars="200"/>
              <w:rPr>
                <w:rFonts w:hint="eastAsia"/>
              </w:rPr>
            </w:pPr>
            <w:r>
              <w:rPr>
                <w:rFonts w:hint="eastAsia"/>
                <w:lang w:val="en-US" w:eastAsia="zh-CN"/>
              </w:rPr>
              <w:t>(10) 服从街道安排其他工作任务</w:t>
            </w:r>
          </w:p>
          <w:p>
            <w:pPr>
              <w:spacing w:line="280" w:lineRule="exact"/>
              <w:ind w:firstLine="420" w:firstLineChars="200"/>
              <w:rPr>
                <w:rFonts w:hint="eastAsia"/>
              </w:rPr>
            </w:pPr>
            <w:r>
              <w:rPr>
                <w:rFonts w:hint="eastAsia"/>
                <w:lang w:val="en-US" w:eastAsia="zh-CN"/>
              </w:rPr>
              <w:t>4、远程视频查看现场，白班7：00-18：00，工作人员：张建党、朱其昌、张龙等人，配戴上岗证，统一工作着装，衣着整齐，符合公司规范；工作内容：管理跨们经营及暴露垃圾，共享单车整治规范停放</w:t>
            </w:r>
            <w:r>
              <w:rPr>
                <w:rFonts w:hint="eastAsia"/>
              </w:rPr>
              <w:t>。</w:t>
            </w:r>
          </w:p>
          <w:p>
            <w:pPr>
              <w:pStyle w:val="22"/>
              <w:rPr>
                <w:rFonts w:hint="eastAsia"/>
                <w:lang w:val="en-US" w:eastAsia="zh-CN"/>
              </w:rPr>
            </w:pPr>
            <w:r>
              <w:rPr>
                <w:rFonts w:hint="eastAsia"/>
                <w:lang w:val="en-US" w:eastAsia="zh-CN"/>
              </w:rPr>
              <w:t xml:space="preserve">     夜班：19：00-7：00，工作人员：官永刚、王青、郭笑伟等人，配戴上岗证，统一工作着装，衣着整齐，符合公司规范；工作内容：管理夜排挡，垃圾乱堆放及共享单车停放</w:t>
            </w:r>
          </w:p>
          <w:p>
            <w:pPr>
              <w:spacing w:line="280" w:lineRule="exact"/>
              <w:ind w:firstLine="420" w:firstLineChars="200"/>
              <w:rPr>
                <w:rFonts w:hint="eastAsia"/>
                <w:lang w:val="en-US" w:eastAsia="zh-CN"/>
              </w:rPr>
            </w:pPr>
            <w:r>
              <w:rPr>
                <w:rFonts w:hint="eastAsia"/>
                <w:lang w:val="en-US" w:eastAsia="zh-CN"/>
              </w:rPr>
              <w:t>抽查过程监视和测量情况，提供了服务过程记录及检验记录。对各工序等过程的监控记录予以控制。</w:t>
            </w:r>
          </w:p>
          <w:p>
            <w:pPr>
              <w:spacing w:line="280" w:lineRule="exact"/>
              <w:ind w:firstLine="420" w:firstLineChars="200"/>
              <w:rPr>
                <w:rFonts w:hint="eastAsia"/>
                <w:lang w:val="en-US" w:eastAsia="zh-CN"/>
              </w:rPr>
            </w:pPr>
            <w:r>
              <w:rPr>
                <w:rFonts w:hint="eastAsia"/>
                <w:lang w:val="en-US" w:eastAsia="zh-CN"/>
              </w:rPr>
              <w:t>查：有《员工服务考核标准》针对工作态度、职能履行、工作绩效三大块进行考核，详见提交文件。针对每个员工提供《人员检查表》，针对服务人员的仪表仪容、服务技能、服务态度、工作纪律进行考核</w:t>
            </w:r>
          </w:p>
          <w:p>
            <w:pPr>
              <w:spacing w:line="280" w:lineRule="exact"/>
              <w:ind w:firstLine="420" w:firstLineChars="200"/>
            </w:pPr>
            <w:r>
              <w:rPr>
                <w:rFonts w:hint="eastAsia"/>
                <w:lang w:val="en-US"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-3070860</wp:posOffset>
                  </wp:positionV>
                  <wp:extent cx="5219700" cy="2851150"/>
                  <wp:effectExtent l="0" t="0" r="0" b="6350"/>
                  <wp:wrapTopAndBottom/>
                  <wp:docPr id="2" name="图片 2" descr="166615975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6159751597"/>
                          <pic:cNvPicPr>
                            <a:picLocks noChangeAspect="1"/>
                          </pic:cNvPicPr>
                        </pic:nvPicPr>
                        <pic:blipFill>
                          <a:blip r:embed="rId6"/>
                          <a:stretch>
                            <a:fillRect/>
                          </a:stretch>
                        </pic:blipFill>
                        <pic:spPr>
                          <a:xfrm>
                            <a:off x="0" y="0"/>
                            <a:ext cx="5219700" cy="2851150"/>
                          </a:xfrm>
                          <a:prstGeom prst="rect">
                            <a:avLst/>
                          </a:prstGeom>
                        </pic:spPr>
                      </pic:pic>
                    </a:graphicData>
                  </a:graphic>
                </wp:anchor>
              </w:drawing>
            </w:r>
            <w:r>
              <w:rPr>
                <w:rFonts w:hint="eastAsia"/>
              </w:rPr>
              <w:t>项目服务过程及完成后，公司会及时安排相关满意信息的收集和汇总。抽查了该项目</w:t>
            </w:r>
            <w:r>
              <w:rPr>
                <w:rFonts w:hint="eastAsia"/>
                <w:lang w:eastAsia="zh-CN"/>
              </w:rPr>
              <w:t>城市市容管理服务</w:t>
            </w:r>
            <w:r>
              <w:rPr>
                <w:rFonts w:hint="eastAsia"/>
              </w:rPr>
              <w:t>满意度调查，包括</w:t>
            </w:r>
            <w:r>
              <w:rPr>
                <w:rFonts w:hint="eastAsia"/>
                <w:lang w:val="en-US" w:eastAsia="zh-CN"/>
              </w:rPr>
              <w:t>服务</w:t>
            </w:r>
            <w:r>
              <w:rPr>
                <w:rFonts w:hint="eastAsia"/>
              </w:rPr>
              <w:t>质量、仪容仪表、日常巡查、服务等项目，经评测，该组织满意度为9</w:t>
            </w:r>
            <w:r>
              <w:rPr>
                <w:rFonts w:hint="eastAsia"/>
                <w:lang w:val="en-US" w:eastAsia="zh-CN"/>
              </w:rPr>
              <w:t>2</w:t>
            </w:r>
            <w:r>
              <w:rPr>
                <w:rFonts w:hint="eastAsia"/>
              </w:rPr>
              <w:t>分。满意程度较高。</w:t>
            </w:r>
          </w:p>
          <w:p>
            <w:pPr>
              <w:spacing w:line="280" w:lineRule="exact"/>
              <w:ind w:firstLine="420" w:firstLineChars="200"/>
              <w:rPr>
                <w:rFonts w:hint="eastAsia"/>
                <w:lang w:val="en-US" w:eastAsia="zh-CN"/>
              </w:rPr>
            </w:pPr>
            <w:r>
              <w:rPr>
                <w:rFonts w:hint="eastAsia"/>
                <w:lang w:val="en-US" w:eastAsia="zh-CN"/>
              </w:rPr>
              <w:t>需要确认的过程：查管理手册，该公司目前经识别确认的特殊过程为服务过程。需确认过程：服务过程，查见《销售服务人员2021年度人员能力确认表》，对该过程从工作人员能力、服务技巧、个人表现、工作流程等方面进行了确认评价。确认结论：满足要求。确认人：张炳辉， 时间:2022.03.15。</w:t>
            </w:r>
          </w:p>
          <w:p>
            <w:pPr>
              <w:spacing w:line="280" w:lineRule="exact"/>
              <w:ind w:firstLine="420" w:firstLineChars="200"/>
              <w:rPr>
                <w:rFonts w:hint="eastAsia"/>
                <w:lang w:val="en-US" w:eastAsia="zh-CN"/>
              </w:rPr>
            </w:pPr>
            <w:r>
              <w:rPr>
                <w:rFonts w:hint="eastAsia"/>
                <w:lang w:val="en-US" w:eastAsia="zh-CN"/>
              </w:rPr>
              <w:t xml:space="preserve">提供考核细则 </w:t>
            </w:r>
          </w:p>
          <w:p>
            <w:pPr>
              <w:numPr>
                <w:ilvl w:val="0"/>
                <w:numId w:val="1"/>
              </w:numPr>
              <w:spacing w:line="280" w:lineRule="exact"/>
              <w:ind w:firstLine="420" w:firstLineChars="200"/>
              <w:rPr>
                <w:rFonts w:hint="eastAsia"/>
                <w:lang w:val="en-US" w:eastAsia="zh-CN"/>
              </w:rPr>
            </w:pPr>
            <w:r>
              <w:rPr>
                <w:rFonts w:hint="eastAsia"/>
                <w:lang w:val="en-US" w:eastAsia="zh-CN"/>
              </w:rPr>
              <w:t>以每季度街道考评结果总和作为年终奖罚依据</w:t>
            </w:r>
          </w:p>
          <w:p>
            <w:pPr>
              <w:numPr>
                <w:ilvl w:val="0"/>
                <w:numId w:val="1"/>
              </w:numPr>
              <w:spacing w:line="280" w:lineRule="exact"/>
              <w:ind w:firstLine="420" w:firstLineChars="200"/>
              <w:rPr>
                <w:rFonts w:hint="eastAsia"/>
                <w:lang w:val="en-US" w:eastAsia="zh-CN"/>
              </w:rPr>
            </w:pPr>
            <w:r>
              <w:rPr>
                <w:rFonts w:hint="eastAsia"/>
                <w:lang w:val="en-US" w:eastAsia="zh-CN"/>
              </w:rPr>
              <w:t xml:space="preserve">每月对人员工作情况进行不定期检查打分，工作检查内容包括：人员出勤情况、日常工作情况、当月市容测评发现的问题情况等 </w:t>
            </w:r>
          </w:p>
          <w:p>
            <w:pPr>
              <w:spacing w:line="280" w:lineRule="exact"/>
              <w:ind w:firstLine="420" w:firstLineChars="200"/>
              <w:rPr>
                <w:rFonts w:hint="eastAsia"/>
                <w:lang w:val="en-US" w:eastAsia="zh-CN"/>
              </w:rPr>
            </w:pPr>
            <w:r>
              <w:rPr>
                <w:rFonts w:hint="eastAsia"/>
                <w:lang w:val="en-US" w:eastAsia="zh-CN"/>
              </w:rPr>
              <w:t xml:space="preserve">3.每月度满分 100 分，得分高于等于 90 分的不作扣款处理，在 89 分到 80 分之间每月扣款 3000 元，低于 80 分以下的每月扣款 6000 元。 </w:t>
            </w:r>
          </w:p>
          <w:p>
            <w:pPr>
              <w:spacing w:line="280" w:lineRule="exact"/>
              <w:ind w:firstLine="420" w:firstLineChars="200"/>
              <w:rPr>
                <w:rFonts w:hint="eastAsia"/>
                <w:lang w:val="en-US" w:eastAsia="zh-CN"/>
              </w:rPr>
            </w:pPr>
            <w:r>
              <w:rPr>
                <w:rFonts w:hint="eastAsia"/>
                <w:lang w:val="en-US" w:eastAsia="zh-CN"/>
              </w:rPr>
              <w:t xml:space="preserve">4.每月对各第三方队伍工作情况进行评比，当月得分最高的队伍加 10 分记入考评总和 </w:t>
            </w:r>
          </w:p>
          <w:p>
            <w:pPr>
              <w:pStyle w:val="11"/>
              <w:rPr>
                <w:rFonts w:hint="eastAsia"/>
                <w:szCs w:val="21"/>
                <w:lang w:val="en-US" w:eastAsia="zh-CN"/>
              </w:rPr>
            </w:pPr>
          </w:p>
          <w:p>
            <w:pPr>
              <w:pStyle w:val="11"/>
              <w:rPr>
                <w:rFonts w:hint="eastAsia"/>
                <w:szCs w:val="21"/>
                <w:lang w:val="en-US" w:eastAsia="zh-CN"/>
              </w:rPr>
            </w:pPr>
          </w:p>
          <w:p>
            <w:pPr>
              <w:pStyle w:val="11"/>
              <w:rPr>
                <w:rFonts w:hint="eastAsia"/>
                <w:szCs w:val="21"/>
                <w:lang w:val="en-US" w:eastAsia="zh-CN"/>
              </w:rPr>
            </w:pPr>
          </w:p>
          <w:p>
            <w:pPr>
              <w:pStyle w:val="11"/>
              <w:rPr>
                <w:rFonts w:hint="eastAsia"/>
                <w:szCs w:val="21"/>
                <w:lang w:val="en-US" w:eastAsia="zh-CN"/>
              </w:rPr>
            </w:pPr>
          </w:p>
          <w:p>
            <w:pPr>
              <w:pStyle w:val="11"/>
              <w:rPr>
                <w:rFonts w:hint="eastAsia"/>
                <w:szCs w:val="21"/>
                <w:lang w:val="en-US" w:eastAsia="zh-CN"/>
              </w:rPr>
            </w:pPr>
          </w:p>
          <w:p>
            <w:pPr>
              <w:pStyle w:val="11"/>
              <w:jc w:val="both"/>
              <w:rPr>
                <w:rFonts w:hint="eastAsia"/>
                <w:szCs w:val="21"/>
                <w:lang w:val="en-US" w:eastAsia="zh-CN"/>
              </w:rPr>
            </w:pPr>
            <w:r>
              <w:rPr>
                <w:rFonts w:hint="eastAsia" w:ascii="Times New Roman" w:hAnsi="Times New Roman" w:eastAsia="宋体" w:cs="Times New Roman"/>
                <w:kern w:val="2"/>
                <w:sz w:val="21"/>
                <w:szCs w:val="21"/>
                <w:lang w:val="en-US" w:eastAsia="zh-CN" w:bidi="ar-SA"/>
              </w:rPr>
              <w:drawing>
                <wp:anchor distT="0" distB="0" distL="114300" distR="114300" simplePos="0" relativeHeight="251662336" behindDoc="0" locked="0" layoutInCell="1" allowOverlap="1">
                  <wp:simplePos x="0" y="0"/>
                  <wp:positionH relativeFrom="column">
                    <wp:posOffset>217170</wp:posOffset>
                  </wp:positionH>
                  <wp:positionV relativeFrom="paragraph">
                    <wp:posOffset>-5458460</wp:posOffset>
                  </wp:positionV>
                  <wp:extent cx="4851400" cy="5594350"/>
                  <wp:effectExtent l="0" t="0" r="0" b="6350"/>
                  <wp:wrapTopAndBottom/>
                  <wp:docPr id="3" name="图片 3" descr="8114f175548e62d07c6abf08c109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14f175548e62d07c6abf08c1098ae"/>
                          <pic:cNvPicPr>
                            <a:picLocks noChangeAspect="1"/>
                          </pic:cNvPicPr>
                        </pic:nvPicPr>
                        <pic:blipFill>
                          <a:blip r:embed="rId7"/>
                          <a:stretch>
                            <a:fillRect/>
                          </a:stretch>
                        </pic:blipFill>
                        <pic:spPr>
                          <a:xfrm>
                            <a:off x="0" y="0"/>
                            <a:ext cx="4851400" cy="5594350"/>
                          </a:xfrm>
                          <a:prstGeom prst="rect">
                            <a:avLst/>
                          </a:prstGeom>
                        </pic:spPr>
                      </pic:pic>
                    </a:graphicData>
                  </a:graphic>
                </wp:anchor>
              </w:drawing>
            </w:r>
          </w:p>
        </w:tc>
        <w:tc>
          <w:tcPr>
            <w:tcW w:w="0" w:type="auto"/>
            <w:vAlign w:val="top"/>
          </w:tcPr>
          <w:p>
            <w:r>
              <w:rPr>
                <w:rFonts w:hint="eastAsia"/>
              </w:rPr>
              <w:t>Y</w:t>
            </w:r>
          </w:p>
          <w:p/>
          <w:p/>
          <w:p/>
          <w:p/>
          <w:p/>
          <w:p/>
          <w:p/>
          <w:p/>
          <w:p/>
          <w:p/>
          <w:p/>
          <w:p/>
          <w:p/>
          <w:p/>
          <w:p/>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顾客及外部供方财产</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8.5.3</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公司提供的主要为</w:t>
            </w:r>
            <w:r>
              <w:rPr>
                <w:rFonts w:hint="eastAsia"/>
                <w:color w:val="000000"/>
                <w:szCs w:val="21"/>
                <w:lang w:eastAsia="zh-CN"/>
              </w:rPr>
              <w:t>城市市容管理服务</w:t>
            </w:r>
            <w:r>
              <w:rPr>
                <w:color w:val="000000"/>
                <w:szCs w:val="21"/>
              </w:rPr>
              <w:t>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产品防护及服务交付后的活动</w:t>
            </w:r>
          </w:p>
        </w:tc>
        <w:tc>
          <w:tcPr>
            <w:tcW w:w="0" w:type="auto"/>
            <w:vAlign w:val="top"/>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8.5.5</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服务部</w:t>
            </w:r>
            <w:r>
              <w:rPr>
                <w:rFonts w:hint="eastAsia" w:ascii="宋体" w:hAnsi="宋体" w:cs="宋体"/>
                <w:szCs w:val="21"/>
              </w:rPr>
              <w:t>一方面做好自身防护，另外一方面主要做好</w:t>
            </w:r>
            <w:r>
              <w:rPr>
                <w:rFonts w:hint="eastAsia" w:ascii="宋体" w:hAnsi="宋体" w:cs="宋体"/>
                <w:szCs w:val="21"/>
                <w:lang w:eastAsia="zh-CN"/>
              </w:rPr>
              <w:t>城市市容管理服务</w:t>
            </w:r>
            <w:r>
              <w:rPr>
                <w:rFonts w:hint="eastAsia" w:ascii="宋体" w:hAnsi="宋体" w:cs="宋体"/>
                <w:szCs w:val="21"/>
              </w:rPr>
              <w:t>过程中对顾客财产等防护。询问</w:t>
            </w:r>
            <w:r>
              <w:rPr>
                <w:rFonts w:hint="eastAsia" w:ascii="宋体" w:hAnsi="宋体" w:cs="宋体"/>
                <w:szCs w:val="21"/>
                <w:lang w:eastAsia="zh-CN"/>
              </w:rPr>
              <w:t>服务部</w:t>
            </w:r>
            <w:r>
              <w:rPr>
                <w:rFonts w:hint="eastAsia" w:ascii="宋体" w:hAnsi="宋体" w:cs="宋体"/>
                <w:szCs w:val="21"/>
              </w:rPr>
              <w:t>表示，对</w:t>
            </w:r>
            <w:r>
              <w:rPr>
                <w:rFonts w:hint="eastAsia" w:ascii="宋体" w:hAnsi="宋体" w:cs="宋体"/>
                <w:szCs w:val="21"/>
                <w:lang w:val="en-US" w:eastAsia="zh-CN"/>
              </w:rPr>
              <w:t>服务</w:t>
            </w:r>
            <w:r>
              <w:rPr>
                <w:rFonts w:hint="eastAsia" w:ascii="宋体" w:hAnsi="宋体" w:cs="宋体"/>
                <w:szCs w:val="21"/>
              </w:rPr>
              <w:t>人员等会通过教育培训。对客户的提供</w:t>
            </w:r>
            <w:r>
              <w:rPr>
                <w:rFonts w:hint="eastAsia" w:ascii="宋体" w:hAnsi="宋体" w:cs="宋体"/>
                <w:szCs w:val="21"/>
                <w:lang w:eastAsia="zh-CN"/>
              </w:rPr>
              <w:t>城市市容管理服务</w:t>
            </w:r>
            <w:r>
              <w:rPr>
                <w:rFonts w:hint="eastAsia" w:ascii="宋体" w:hAnsi="宋体" w:cs="宋体"/>
                <w:szCs w:val="21"/>
              </w:rPr>
              <w:t>过程等做好小心轻放、稳拿稳放等确保产品不损坏。</w:t>
            </w:r>
          </w:p>
          <w:p>
            <w:pPr>
              <w:spacing w:line="280" w:lineRule="exact"/>
              <w:ind w:firstLine="420" w:firstLineChars="200"/>
              <w:rPr>
                <w:rFonts w:ascii="宋体" w:hAnsi="宋体" w:cs="宋体"/>
                <w:szCs w:val="21"/>
              </w:rPr>
            </w:pPr>
            <w:r>
              <w:rPr>
                <w:rFonts w:hint="eastAsia" w:ascii="宋体" w:hAnsi="宋体" w:cs="宋体"/>
                <w:szCs w:val="21"/>
              </w:rPr>
              <w:t>服务完成后，</w:t>
            </w:r>
            <w:r>
              <w:rPr>
                <w:rFonts w:hint="eastAsia" w:ascii="宋体" w:hAnsi="宋体" w:cs="宋体"/>
                <w:szCs w:val="21"/>
                <w:lang w:eastAsia="zh-CN"/>
              </w:rPr>
              <w:t>服务部</w:t>
            </w:r>
            <w:r>
              <w:rPr>
                <w:rFonts w:hint="eastAsia" w:ascii="宋体" w:hAnsi="宋体" w:cs="宋体"/>
                <w:szCs w:val="21"/>
              </w:rPr>
              <w:t>主要做好客户信息的处置，按照信息沟通程序等做好沟通。</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截止目前没有发生交付后客户投诉的情况。</w:t>
            </w:r>
          </w:p>
        </w:tc>
        <w:tc>
          <w:tcPr>
            <w:tcW w:w="0" w:type="auto"/>
            <w:vAlign w:val="top"/>
          </w:tcPr>
          <w:p>
            <w:pPr>
              <w:rPr>
                <w:rFonts w:hint="eastAsia" w:ascii="Times New Roman" w:hAnsi="Times New Roman" w:eastAsia="宋体" w:cs="Times New Roman"/>
                <w:kern w:val="2"/>
                <w:sz w:val="21"/>
                <w:lang w:val="en-US" w:eastAsia="zh-CN" w:bidi="ar-SA"/>
              </w:rPr>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变更管理</w:t>
            </w:r>
          </w:p>
        </w:tc>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8.5.6</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组织在手册中明确变更管理的要求，询问</w:t>
            </w:r>
            <w:r>
              <w:rPr>
                <w:rFonts w:hint="eastAsia" w:ascii="宋体" w:hAnsi="宋体" w:cs="宋体"/>
                <w:szCs w:val="21"/>
                <w:lang w:eastAsia="zh-CN"/>
              </w:rPr>
              <w:t>服务部</w:t>
            </w:r>
            <w:r>
              <w:rPr>
                <w:rFonts w:hint="eastAsia" w:ascii="宋体" w:hAnsi="宋体" w:cs="宋体"/>
                <w:szCs w:val="21"/>
              </w:rPr>
              <w:t>表示目前服务基本能够按照合同或约定履行，对一些服务过程中特定的要求，一般直接现场进行处置，未发生重大的变更。</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rPr>
                <w:rFonts w:ascii="宋体" w:hAnsi="宋体" w:cs="Arial"/>
                <w:szCs w:val="21"/>
              </w:rPr>
            </w:pPr>
            <w:r>
              <w:rPr>
                <w:rFonts w:hint="eastAsia" w:ascii="宋体" w:hAnsi="宋体" w:cs="Arial"/>
                <w:szCs w:val="21"/>
              </w:rPr>
              <w:t>放行</w:t>
            </w:r>
          </w:p>
          <w:p>
            <w:pPr>
              <w:rPr>
                <w:rFonts w:ascii="宋体" w:hAnsi="宋体" w:cs="Arial"/>
                <w:szCs w:val="21"/>
              </w:rPr>
            </w:pPr>
            <w:r>
              <w:rPr>
                <w:rFonts w:hint="eastAsia" w:ascii="宋体" w:hAnsi="宋体" w:cs="Arial"/>
                <w:szCs w:val="21"/>
              </w:rPr>
              <w:t>不合格输出管理</w:t>
            </w:r>
          </w:p>
          <w:p>
            <w:pPr>
              <w:rPr>
                <w:rFonts w:ascii="宋体" w:hAnsi="宋体" w:cs="Arial"/>
                <w:szCs w:val="21"/>
              </w:rPr>
            </w:pPr>
          </w:p>
          <w:p>
            <w:pPr>
              <w:rPr>
                <w:rFonts w:ascii="宋体" w:hAnsi="宋体" w:cs="Arial"/>
                <w:szCs w:val="21"/>
              </w:rPr>
            </w:pPr>
          </w:p>
          <w:p>
            <w:pPr>
              <w:rPr>
                <w:rFonts w:hint="eastAsia" w:ascii="宋体" w:hAnsi="宋体" w:eastAsia="宋体" w:cs="Arial"/>
                <w:kern w:val="2"/>
                <w:sz w:val="21"/>
                <w:szCs w:val="21"/>
                <w:lang w:val="en-US" w:eastAsia="zh-CN" w:bidi="ar-SA"/>
              </w:rPr>
            </w:pPr>
            <w:r>
              <w:rPr>
                <w:rFonts w:hint="eastAsia" w:ascii="宋体" w:hAnsi="宋体" w:cs="Arial"/>
                <w:szCs w:val="21"/>
              </w:rPr>
              <w:t>标识和可追溯性管理</w:t>
            </w:r>
          </w:p>
        </w:tc>
        <w:tc>
          <w:tcPr>
            <w:tcW w:w="0" w:type="auto"/>
            <w:vAlign w:val="top"/>
          </w:tcPr>
          <w:p>
            <w:pPr>
              <w:rPr>
                <w:rFonts w:ascii="宋体" w:hAnsi="宋体" w:cs="Arial"/>
                <w:szCs w:val="21"/>
              </w:rPr>
            </w:pPr>
            <w:r>
              <w:rPr>
                <w:rFonts w:hint="eastAsia" w:ascii="宋体" w:hAnsi="宋体" w:cs="Arial"/>
                <w:szCs w:val="21"/>
              </w:rPr>
              <w:t>Q</w:t>
            </w:r>
            <w:r>
              <w:rPr>
                <w:rFonts w:ascii="宋体" w:hAnsi="宋体" w:cs="Arial"/>
                <w:szCs w:val="21"/>
              </w:rPr>
              <w:t>8.6</w:t>
            </w:r>
          </w:p>
          <w:p>
            <w:pPr>
              <w:rPr>
                <w:rFonts w:ascii="宋体" w:hAnsi="宋体" w:cs="Arial"/>
                <w:szCs w:val="21"/>
              </w:rPr>
            </w:pPr>
            <w:r>
              <w:rPr>
                <w:rFonts w:hint="eastAsia" w:ascii="宋体" w:hAnsi="宋体" w:cs="Arial"/>
                <w:szCs w:val="21"/>
              </w:rPr>
              <w:t>Q</w:t>
            </w:r>
            <w:r>
              <w:rPr>
                <w:rFonts w:ascii="宋体" w:hAnsi="宋体" w:cs="Arial"/>
                <w:szCs w:val="21"/>
              </w:rPr>
              <w:t>8.7</w:t>
            </w:r>
          </w:p>
          <w:p>
            <w:pPr>
              <w:rPr>
                <w:rFonts w:ascii="宋体" w:hAnsi="宋体" w:cs="Arial"/>
                <w:szCs w:val="21"/>
              </w:rPr>
            </w:pPr>
          </w:p>
          <w:p>
            <w:pPr>
              <w:rPr>
                <w:rFonts w:ascii="宋体" w:hAnsi="宋体" w:cs="Arial"/>
                <w:szCs w:val="21"/>
              </w:rPr>
            </w:pPr>
          </w:p>
          <w:p>
            <w:pPr>
              <w:rPr>
                <w:rFonts w:hint="eastAsia"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8.5.2</w:t>
            </w:r>
          </w:p>
        </w:tc>
        <w:tc>
          <w:tcPr>
            <w:tcW w:w="0" w:type="auto"/>
            <w:vAlign w:val="center"/>
          </w:tcPr>
          <w:p>
            <w:pPr>
              <w:spacing w:line="280" w:lineRule="exact"/>
              <w:ind w:firstLine="420" w:firstLineChars="200"/>
              <w:rPr>
                <w:rFonts w:hint="eastAsia" w:ascii="宋体" w:hAnsi="宋体" w:cs="宋体"/>
                <w:szCs w:val="21"/>
              </w:rPr>
            </w:pPr>
            <w:r>
              <w:rPr>
                <w:rFonts w:hint="eastAsia" w:ascii="宋体" w:hAnsi="宋体" w:cs="宋体"/>
                <w:szCs w:val="21"/>
              </w:rPr>
              <w:t>因服务的特殊性，放行过程与</w:t>
            </w:r>
            <w:r>
              <w:rPr>
                <w:rFonts w:hint="eastAsia" w:ascii="宋体" w:hAnsi="宋体" w:cs="宋体"/>
                <w:szCs w:val="21"/>
                <w:lang w:eastAsia="zh-CN"/>
              </w:rPr>
              <w:t>城市市容管理服务</w:t>
            </w:r>
            <w:r>
              <w:rPr>
                <w:rFonts w:hint="eastAsia" w:ascii="宋体" w:hAnsi="宋体" w:cs="宋体"/>
                <w:szCs w:val="21"/>
              </w:rPr>
              <w:t>过程基本同步开展，一般不做单独专项验收，通过工资结算等方式进行确认。组织主要通过日常检查、不定期抽查等方式，对</w:t>
            </w:r>
            <w:r>
              <w:rPr>
                <w:rFonts w:hint="eastAsia" w:ascii="宋体" w:hAnsi="宋体" w:cs="宋体"/>
                <w:szCs w:val="21"/>
                <w:lang w:eastAsia="zh-CN"/>
              </w:rPr>
              <w:t>城市市容管理服务</w:t>
            </w:r>
            <w:r>
              <w:rPr>
                <w:rFonts w:hint="eastAsia" w:ascii="宋体" w:hAnsi="宋体" w:cs="宋体"/>
                <w:szCs w:val="21"/>
              </w:rPr>
              <w:t>提供过程进行检查和监督。</w:t>
            </w:r>
          </w:p>
          <w:p>
            <w:pPr>
              <w:spacing w:line="280" w:lineRule="exact"/>
              <w:ind w:firstLine="420" w:firstLineChars="200"/>
              <w:rPr>
                <w:rFonts w:hint="eastAsia"/>
                <w:lang w:val="en-US" w:eastAsia="zh-CN"/>
              </w:rPr>
            </w:pPr>
            <w:r>
              <w:rPr>
                <w:rFonts w:hint="eastAsia"/>
                <w:lang w:val="en-US" w:eastAsia="zh-CN"/>
              </w:rPr>
              <w:t>查有《客户考核记录表》，巡查内容有：当班执勤情况、辖区街面、公共场所及 背街小巷保障管理工作、当月市容测评情况、重要时期和 重点工作开展情况等内容。</w:t>
            </w:r>
          </w:p>
          <w:p>
            <w:pPr>
              <w:spacing w:line="280" w:lineRule="exact"/>
              <w:ind w:firstLine="420" w:firstLineChars="200"/>
              <w:rPr>
                <w:rFonts w:hint="default" w:ascii="宋体" w:hAnsi="宋体" w:eastAsia="宋体" w:cs="宋体"/>
                <w:szCs w:val="21"/>
                <w:lang w:val="en-US" w:eastAsia="zh-CN"/>
              </w:rPr>
            </w:pPr>
            <w:r>
              <w:rPr>
                <w:rFonts w:hint="eastAsia"/>
                <w:lang w:val="en-US" w:eastAsia="zh-CN"/>
              </w:rPr>
              <w:t>负责人介绍，每周会编制督查工作计划，实施督查工作，形成督查报告，改进日常工作，总体可实现服务持续改进。</w:t>
            </w:r>
          </w:p>
          <w:p>
            <w:pPr>
              <w:spacing w:line="280" w:lineRule="exact"/>
              <w:ind w:firstLine="420" w:firstLineChars="200"/>
              <w:rPr>
                <w:rFonts w:hint="eastAsia"/>
                <w:szCs w:val="21"/>
              </w:rPr>
            </w:pPr>
            <w:r>
              <w:rPr>
                <w:rFonts w:hint="eastAsia" w:ascii="宋体" w:hAnsi="宋体" w:cs="宋体"/>
                <w:szCs w:val="21"/>
              </w:rPr>
              <w:t>公司主要做好相关的巡查记录、</w:t>
            </w:r>
            <w:r>
              <w:rPr>
                <w:rFonts w:hint="eastAsia" w:ascii="宋体" w:hAnsi="宋体" w:cs="宋体"/>
                <w:szCs w:val="21"/>
                <w:lang w:val="en-US" w:eastAsia="zh-CN"/>
              </w:rPr>
              <w:t>打卡记录</w:t>
            </w:r>
            <w:r>
              <w:rPr>
                <w:rFonts w:hint="eastAsia" w:ascii="宋体" w:hAnsi="宋体" w:cs="宋体"/>
                <w:szCs w:val="21"/>
              </w:rPr>
              <w:t>等，记录了人员信息、事由、联系方式等信息，对进出人员、物品等进行管理，一旦发生问题，能够及时实现追溯。</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日常未发生不符合或者被投诉的情况，如有发生投诉，一般会反馈到</w:t>
            </w:r>
            <w:r>
              <w:rPr>
                <w:rFonts w:hint="eastAsia" w:ascii="宋体" w:hAnsi="宋体" w:cs="宋体"/>
                <w:szCs w:val="21"/>
                <w:lang w:eastAsia="zh-CN"/>
              </w:rPr>
              <w:t>服务部</w:t>
            </w:r>
            <w:r>
              <w:rPr>
                <w:rFonts w:hint="eastAsia" w:ascii="宋体" w:hAnsi="宋体" w:cs="宋体"/>
                <w:szCs w:val="21"/>
              </w:rPr>
              <w:t>。询问李经理，体系运行以来，没有发生不符合的情况。</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0" w:type="auto"/>
            <w:vAlign w:val="top"/>
          </w:tcPr>
          <w:p>
            <w:pPr>
              <w:spacing w:line="280" w:lineRule="exact"/>
              <w:rPr>
                <w:szCs w:val="21"/>
              </w:rPr>
            </w:pPr>
            <w:r>
              <w:rPr>
                <w:rFonts w:hint="eastAsia"/>
                <w:szCs w:val="21"/>
              </w:rPr>
              <w:t>EO</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8.1</w:t>
            </w:r>
          </w:p>
        </w:tc>
        <w:tc>
          <w:tcPr>
            <w:tcW w:w="11809" w:type="dxa"/>
            <w:vAlign w:val="center"/>
          </w:tcPr>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本部门执行的运行控制文件包括：运行控制程序，固体废弃物管理规定、对相关方施加影响管理规定、</w:t>
            </w:r>
            <w:r>
              <w:rPr>
                <w:rFonts w:hint="eastAsia" w:ascii="Times New Roman" w:hAnsi="Times New Roman" w:eastAsia="宋体" w:cs="Times New Roman"/>
                <w:lang w:val="en-GB" w:eastAsia="zh-CN"/>
              </w:rPr>
              <w:t>车辆管理规定、电脑使用管理办法</w:t>
            </w:r>
            <w:r>
              <w:rPr>
                <w:rFonts w:hint="eastAsia" w:ascii="Times New Roman" w:hAnsi="Times New Roman" w:eastAsia="宋体" w:cs="Times New Roman"/>
                <w:lang w:val="zh-CN" w:eastAsia="zh-CN"/>
              </w:rPr>
              <w:t>等</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运行控制情况：</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1、办公区域：生活污水排放至城市管网。噪声：办公现场不产生明显噪声。</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固废：固体废物主要是生活垃圾、办公产生废纸张废包装物等，配置了垃圾桶、可回收箱分类处置；办公用纸由行政部负责，复印、打印耗材都有行政部统一负责，集中处置。</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2、办公过程注意节约用电，做到人走灯灭，电脑长时间不用时关机，下班前要关闭电源，防止触电。</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3、办公区域禁止吸烟，查看办公区域环境整洁、宽敞、办公设备状态良好、无安全隐患。</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4、查看办公区域，整洁、光线充足、室内空气良好，办公条件较好，办公设备安全状态良好，教育员工正确使用办公设备，规范用电，无乱拉线现象，防止火灾发生。</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、相关方施加影响：公司能够控制或能够施加影响的相关方有顾客等。提供了“致相关方的公开信”，将公司的环境/安全控制要求发放</w:t>
            </w:r>
            <w:r>
              <w:rPr>
                <w:rFonts w:hint="eastAsia" w:ascii="Times New Roman" w:hAnsi="Times New Roman" w:eastAsia="宋体" w:cs="Times New Roman"/>
                <w:lang w:val="en-US" w:eastAsia="zh-CN"/>
              </w:rPr>
              <w:t>给</w:t>
            </w:r>
            <w:r>
              <w:rPr>
                <w:rFonts w:hint="eastAsia" w:ascii="Times New Roman" w:hAnsi="Times New Roman" w:eastAsia="宋体" w:cs="Times New Roman"/>
                <w:lang w:val="zh-CN" w:eastAsia="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6</w:t>
            </w:r>
            <w:r>
              <w:rPr>
                <w:rFonts w:hint="eastAsia" w:ascii="Times New Roman" w:hAnsi="Times New Roman" w:eastAsia="宋体" w:cs="Times New Roman"/>
                <w:lang w:val="zh-CN" w:eastAsia="zh-CN"/>
              </w:rPr>
              <w:t>、要求遵守道路交通法规，不违章驾车，驾驶证和车辆定期年审，确保行车安全。</w:t>
            </w:r>
          </w:p>
          <w:p>
            <w:pPr>
              <w:spacing w:line="280" w:lineRule="exact"/>
              <w:ind w:firstLine="420" w:firstLineChars="200"/>
              <w:rPr>
                <w:rFonts w:hint="eastAsia" w:ascii="Times New Roman" w:hAnsi="Times New Roman" w:eastAsia="宋体" w:cs="Times New Roman"/>
                <w:lang w:val="en-US" w:eastAsia="zh-CN"/>
              </w:rPr>
            </w:pP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8" w:type="dxa"/>
            <w:vAlign w:val="center"/>
          </w:tcPr>
          <w:p>
            <w:pPr>
              <w:rPr>
                <w:rFonts w:hint="eastAsia" w:ascii="宋体" w:hAnsi="宋体" w:eastAsia="宋体" w:cs="Arial"/>
                <w:kern w:val="2"/>
                <w:sz w:val="21"/>
                <w:szCs w:val="21"/>
                <w:lang w:val="en-US" w:eastAsia="zh-CN" w:bidi="ar-SA"/>
              </w:rPr>
            </w:pPr>
            <w:r>
              <w:rPr>
                <w:rFonts w:hint="eastAsia" w:ascii="楷体" w:hAnsi="楷体" w:eastAsia="楷体" w:cs="Times New Roman"/>
                <w:bCs/>
                <w:szCs w:val="21"/>
                <w:lang w:val="en-US" w:eastAsia="zh-CN"/>
              </w:rPr>
              <w:t>应急响应和准备</w:t>
            </w:r>
          </w:p>
        </w:tc>
        <w:tc>
          <w:tcPr>
            <w:tcW w:w="952" w:type="dxa"/>
            <w:vAlign w:val="center"/>
          </w:tcPr>
          <w:p>
            <w:pPr>
              <w:rPr>
                <w:rFonts w:hint="eastAsia" w:ascii="宋体" w:hAnsi="宋体" w:eastAsia="宋体" w:cs="Arial"/>
                <w:kern w:val="2"/>
                <w:sz w:val="21"/>
                <w:szCs w:val="21"/>
                <w:lang w:val="en-US" w:eastAsia="zh-CN" w:bidi="ar-SA"/>
              </w:rPr>
            </w:pPr>
            <w:r>
              <w:rPr>
                <w:rFonts w:hint="eastAsia" w:ascii="楷体" w:hAnsi="楷体" w:eastAsia="楷体" w:cs="Times New Roman"/>
                <w:bCs/>
                <w:szCs w:val="21"/>
                <w:lang w:val="en-US" w:eastAsia="zh-CN"/>
              </w:rPr>
              <w:t>EO8.2</w:t>
            </w:r>
          </w:p>
        </w:tc>
        <w:tc>
          <w:tcPr>
            <w:tcW w:w="11809"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1、查策划有《应急准备与响应控制程序》，明确应急救援人员及职责，编制有《火灾应急预案》、《职业健康安全-触电-紧急事故应急预案》及《疫情突发事件应急处置预案》。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——建立有应急组织，应急救援人员名单、职责权限规定等。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3、开展了消防器材的使用和人员紧急疏散的火灾应急预案演练及职业健康-触电预案演习活动：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提供有2022年07月05日“火灾消防演习”。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——演练时间：时间2022年07月05日</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——参加部门：行政部、服务部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Times New Roman" w:hAnsi="Times New Roman" w:eastAsia="宋体" w:cs="Times New Roman"/>
                <w:kern w:val="2"/>
                <w:sz w:val="21"/>
                <w:szCs w:val="21"/>
                <w:lang w:val="en-US" w:eastAsia="zh-CN" w:bidi="ar-SA"/>
              </w:rPr>
            </w:pPr>
            <w:r>
              <w:rPr>
                <w:rFonts w:hint="eastAsia" w:ascii="楷体" w:hAnsi="楷体" w:eastAsia="楷体" w:cs="Times New Roman"/>
                <w:bCs/>
                <w:szCs w:val="21"/>
                <w:lang w:val="en-US" w:eastAsia="zh-CN"/>
              </w:rPr>
              <w:t>——对消防应急预案的适用性、可操作性进行评审；符合要求。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8" w:type="dxa"/>
            <w:vAlign w:val="center"/>
          </w:tcPr>
          <w:p>
            <w:pPr>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顾客满意度</w:t>
            </w:r>
          </w:p>
        </w:tc>
        <w:tc>
          <w:tcPr>
            <w:tcW w:w="952" w:type="dxa"/>
            <w:vAlign w:val="center"/>
          </w:tcPr>
          <w:p>
            <w:pPr>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Q9.1.2</w:t>
            </w:r>
          </w:p>
        </w:tc>
        <w:tc>
          <w:tcPr>
            <w:tcW w:w="11809" w:type="dxa"/>
            <w:vAlign w:val="center"/>
          </w:tcPr>
          <w:p>
            <w:pPr>
              <w:spacing w:line="28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公司通过电话，走访等形式，接受顾客反馈，了解顾客顾客满意度信息，发放调查表对顾客满意度进行定量测量。</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提供“顾客满意程度调查表”，调查主要内容：</w:t>
            </w:r>
            <w:r>
              <w:rPr>
                <w:rFonts w:hint="eastAsia" w:ascii="Times New Roman" w:hAnsi="Times New Roman" w:eastAsia="宋体" w:cs="Times New Roman"/>
                <w:lang w:val="en-US" w:eastAsia="zh-CN"/>
              </w:rPr>
              <w:t>前期沟通、服务质量、价格、售后服务等方面的满意程度</w:t>
            </w:r>
            <w:r>
              <w:rPr>
                <w:rFonts w:hint="eastAsia" w:ascii="Times New Roman" w:hAnsi="Times New Roman" w:eastAsia="宋体" w:cs="Times New Roman"/>
                <w:lang w:val="zh-CN" w:eastAsia="zh-CN"/>
              </w:rPr>
              <w:t>等，</w:t>
            </w:r>
            <w:r>
              <w:rPr>
                <w:rFonts w:hint="eastAsia" w:ascii="Times New Roman" w:hAnsi="Times New Roman" w:eastAsia="宋体" w:cs="Times New Roman"/>
                <w:lang w:val="en-US" w:eastAsia="zh-CN"/>
              </w:rPr>
              <w:t>各项得分求平均值得最终结果</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提供顾客满意调查分析。最终顾客满意率92%。该结果已提交管理评审。</w:t>
            </w:r>
          </w:p>
        </w:tc>
        <w:tc>
          <w:tcPr>
            <w:tcW w:w="0" w:type="auto"/>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8" w:type="dxa"/>
            <w:vAlign w:val="center"/>
          </w:tcPr>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分析与评价</w:t>
            </w:r>
          </w:p>
        </w:tc>
        <w:tc>
          <w:tcPr>
            <w:tcW w:w="952" w:type="dxa"/>
            <w:vAlign w:val="center"/>
          </w:tcPr>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Q9.1.3</w:t>
            </w:r>
          </w:p>
        </w:tc>
        <w:tc>
          <w:tcPr>
            <w:tcW w:w="11809" w:type="dxa"/>
            <w:vAlign w:val="center"/>
          </w:tcPr>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a）服务部每年管理评审前对顾客满意度和提供服务情况进行收集汇总、分析，并形成报告；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b）服务部每年管理评审前对原材料采购和供方信息进行收集汇总、分析，并形成报告；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c）服务部每年管理评审前对组织服务能力、服务设备使用情况进行收集汇总、分析，并形成报告；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d）管理者代表每年管理评审前对质量/环境/职业健康安全管理体系运行情况进行总结，并形成报告；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e）行政部每年管理评审前对人员培训率情况进行统计、分析，并形成报告；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f）服务部每年管理评审前对产品的符合性信息进行收集汇总、分析，并形成报告；</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2）数据评价</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行政部在管理评审前收集各部门的分析报告，作为管理评审输入材料上报管理评审会讨论，以便于：</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a）确定质量/环境/职业健康安全管理体系的适宜性、充分性、有效性；</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b）确保产品和服务持续满足顾客要求；</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c）确保过程有效运行和控制；</w:t>
            </w:r>
          </w:p>
          <w:p>
            <w:pPr>
              <w:spacing w:line="280" w:lineRule="exact"/>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d）识别质量/环境/职业健康安全管理体系的改进机会。</w:t>
            </w:r>
          </w:p>
        </w:tc>
        <w:tc>
          <w:tcPr>
            <w:tcW w:w="0" w:type="auto"/>
            <w:vAlign w:val="top"/>
          </w:tcPr>
          <w:p>
            <w:pPr>
              <w:rPr>
                <w:rFonts w:hint="default"/>
                <w:lang w:val="en-US" w:eastAsia="zh-CN"/>
              </w:rPr>
            </w:pPr>
            <w:r>
              <w:rPr>
                <w:rFonts w:hint="eastAsia"/>
                <w:lang w:val="en-US" w:eastAsia="zh-CN"/>
              </w:rPr>
              <w:t>Y</w:t>
            </w: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50C4B"/>
    <w:multiLevelType w:val="singleLevel"/>
    <w:tmpl w:val="FF650C4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JiZGY2YjU2MmRhNjg4NDA1NWJhMzhhZTVmYzcifQ=="/>
  </w:docVars>
  <w:rsids>
    <w:rsidRoot w:val="00000000"/>
    <w:rsid w:val="08B15EBC"/>
    <w:rsid w:val="151B37E8"/>
    <w:rsid w:val="17DE1637"/>
    <w:rsid w:val="1D533DAA"/>
    <w:rsid w:val="258658B7"/>
    <w:rsid w:val="2A276053"/>
    <w:rsid w:val="2D137703"/>
    <w:rsid w:val="306F1AAB"/>
    <w:rsid w:val="313246A8"/>
    <w:rsid w:val="31384310"/>
    <w:rsid w:val="31A47927"/>
    <w:rsid w:val="322028A6"/>
    <w:rsid w:val="358721A6"/>
    <w:rsid w:val="43912AA7"/>
    <w:rsid w:val="43B404A6"/>
    <w:rsid w:val="4A621591"/>
    <w:rsid w:val="4D3F7444"/>
    <w:rsid w:val="4E6D1797"/>
    <w:rsid w:val="4E956D52"/>
    <w:rsid w:val="54290784"/>
    <w:rsid w:val="548D20BA"/>
    <w:rsid w:val="5C96081C"/>
    <w:rsid w:val="649D0841"/>
    <w:rsid w:val="6A4909AD"/>
    <w:rsid w:val="6CDB0502"/>
    <w:rsid w:val="6DFC734C"/>
    <w:rsid w:val="75815C51"/>
    <w:rsid w:val="7BC13DBD"/>
    <w:rsid w:val="7DCB0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ody Text 3"/>
    <w:basedOn w:val="1"/>
    <w:qFormat/>
    <w:uiPriority w:val="0"/>
    <w:pPr>
      <w:snapToGrid w:val="0"/>
      <w:spacing w:line="480" w:lineRule="exact"/>
      <w:jc w:val="center"/>
    </w:pPr>
    <w:rPr>
      <w:rFonts w:ascii="宋体" w:hAnsi="Times New Roman" w:cs="Times New Roman"/>
      <w:sz w:val="24"/>
      <w:szCs w:val="20"/>
    </w:rPr>
  </w:style>
  <w:style w:type="paragraph" w:styleId="5">
    <w:name w:val="Body Text"/>
    <w:basedOn w:val="1"/>
    <w:next w:val="6"/>
    <w:qFormat/>
    <w:uiPriority w:val="0"/>
    <w:pPr>
      <w:spacing w:line="312" w:lineRule="auto"/>
    </w:pPr>
    <w:rPr>
      <w:rFonts w:ascii="Arial" w:hAnsi="Arial" w:eastAsia="楷体_GB2312"/>
      <w:spacing w:val="20"/>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qFormat/>
    <w:uiPriority w:val="0"/>
    <w:pPr>
      <w:ind w:left="360"/>
    </w:pPr>
    <w:rPr>
      <w:rFonts w:ascii="宋体"/>
      <w:sz w:val="20"/>
    </w:rPr>
  </w:style>
  <w:style w:type="paragraph" w:styleId="8">
    <w:name w:val="toc 3"/>
    <w:basedOn w:val="1"/>
    <w:next w:val="1"/>
    <w:qFormat/>
    <w:uiPriority w:val="0"/>
    <w:pPr>
      <w:ind w:left="840" w:leftChars="400"/>
      <w:jc w:val="both"/>
    </w:pPr>
    <w:rPr>
      <w:rFonts w:ascii="Calibri" w:hAnsi="Calibri" w:eastAsia="宋体" w:cs="Calibri"/>
      <w:iCs/>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5"/>
    <w:qFormat/>
    <w:uiPriority w:val="0"/>
    <w:pPr>
      <w:ind w:firstLine="420" w:firstLineChars="100"/>
    </w:pPr>
    <w:rPr>
      <w:szCs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1"/>
    <w:qFormat/>
    <w:uiPriority w:val="99"/>
    <w:rPr>
      <w:rFonts w:ascii="Times New Roman" w:hAnsi="Times New Roman" w:eastAsia="宋体" w:cs="Times New Roman"/>
      <w:sz w:val="18"/>
      <w:szCs w:val="18"/>
    </w:rPr>
  </w:style>
  <w:style w:type="character" w:customStyle="1" w:styleId="17">
    <w:name w:val="页脚 Char"/>
    <w:basedOn w:val="15"/>
    <w:link w:val="10"/>
    <w:qFormat/>
    <w:uiPriority w:val="99"/>
    <w:rPr>
      <w:rFonts w:ascii="Times New Roman" w:hAnsi="Times New Roman" w:eastAsia="宋体" w:cs="Times New Roman"/>
      <w:sz w:val="18"/>
      <w:szCs w:val="18"/>
    </w:rPr>
  </w:style>
  <w:style w:type="character" w:customStyle="1" w:styleId="18">
    <w:name w:val="批注框文本 Char"/>
    <w:basedOn w:val="15"/>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6903</Words>
  <Characters>7263</Characters>
  <Lines>1</Lines>
  <Paragraphs>1</Paragraphs>
  <TotalTime>1</TotalTime>
  <ScaleCrop>false</ScaleCrop>
  <LinksUpToDate>false</LinksUpToDate>
  <CharactersWithSpaces>7375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2022-10-22T03:09:31Z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CD55F653188F4CF987D47463DBCAAC0B</vt:lpwstr>
  </property>
  <property fmtid="{D5CDD505-2E9C-101B-9397-08002B2CF9AE}" pid="3" name="KSOProductBuildVer">
    <vt:lpwstr>2052-11.1.0.12598</vt:lpwstr>
  </property>
</Properties>
</file>