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1112-2022-Q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西部矿业股份有限公司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76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西部矿业股份有限公司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青海省西宁市五四大街52号</w:t>
            </w:r>
            <w:bookmarkEnd w:id="6"/>
          </w:p>
        </w:tc>
        <w:tc>
          <w:tcPr>
            <w:tcW w:w="760" w:type="dxa"/>
            <w:vMerge w:val="restart"/>
            <w:vAlign w:val="center"/>
          </w:tcPr>
          <w:p>
            <w:r>
              <w:rPr>
                <w:rFonts w:hint="eastAsia"/>
              </w:rPr>
              <w:t>邮编</w:t>
            </w:r>
          </w:p>
        </w:tc>
        <w:tc>
          <w:tcPr>
            <w:tcW w:w="2253" w:type="dxa"/>
          </w:tcPr>
          <w:p>
            <w:bookmarkStart w:id="7" w:name="注册邮编"/>
            <w:r>
              <w:t>810000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highlight w:val="none"/>
              </w:rPr>
            </w:pPr>
            <w:r>
              <w:rPr>
                <w:rFonts w:hint="eastAsia"/>
                <w:highlight w:val="none"/>
              </w:rPr>
              <w:t>经营地址</w:t>
            </w:r>
          </w:p>
        </w:tc>
        <w:tc>
          <w:tcPr>
            <w:tcW w:w="5045" w:type="dxa"/>
            <w:gridSpan w:val="3"/>
          </w:tcPr>
          <w:p>
            <w:pPr>
              <w:rPr>
                <w:highlight w:val="none"/>
              </w:rPr>
            </w:pPr>
            <w:bookmarkStart w:id="8" w:name="生产地址"/>
            <w:r>
              <w:rPr>
                <w:highlight w:val="none"/>
              </w:rPr>
              <w:t>青海省西宁市五四大街52号</w:t>
            </w:r>
            <w:bookmarkEnd w:id="8"/>
          </w:p>
        </w:tc>
        <w:tc>
          <w:tcPr>
            <w:tcW w:w="760" w:type="dxa"/>
            <w:vMerge w:val="continue"/>
            <w:vAlign w:val="center"/>
          </w:tcPr>
          <w:p/>
        </w:tc>
        <w:tc>
          <w:tcPr>
            <w:tcW w:w="2253" w:type="dxa"/>
          </w:tcPr>
          <w:p>
            <w:bookmarkStart w:id="9" w:name="办公邮编"/>
            <w:r>
              <w:t>810000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张发军</w:t>
            </w:r>
            <w:bookmarkEnd w:id="10"/>
          </w:p>
        </w:tc>
        <w:tc>
          <w:tcPr>
            <w:tcW w:w="1313" w:type="dxa"/>
            <w:vAlign w:val="center"/>
          </w:tcPr>
          <w:p>
            <w:r>
              <w:rPr>
                <w:rFonts w:hint="eastAsia"/>
              </w:rPr>
              <w:t>电话.</w:t>
            </w:r>
          </w:p>
        </w:tc>
        <w:tc>
          <w:tcPr>
            <w:tcW w:w="2180" w:type="dxa"/>
            <w:vAlign w:val="center"/>
          </w:tcPr>
          <w:p>
            <w:bookmarkStart w:id="11" w:name="联系人电话"/>
            <w:r>
              <w:t>18797278991</w:t>
            </w:r>
            <w:bookmarkEnd w:id="11"/>
          </w:p>
        </w:tc>
        <w:tc>
          <w:tcPr>
            <w:tcW w:w="760" w:type="dxa"/>
            <w:vAlign w:val="center"/>
          </w:tcPr>
          <w:p>
            <w:r>
              <w:rPr>
                <w:rFonts w:hint="eastAsia"/>
              </w:rPr>
              <w:t>传真</w:t>
            </w:r>
          </w:p>
        </w:tc>
        <w:tc>
          <w:tcPr>
            <w:tcW w:w="2253"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王海丰</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eastAsia="zh-CN"/>
              </w:rPr>
              <w:t>范增鑫</w:t>
            </w:r>
          </w:p>
        </w:tc>
        <w:tc>
          <w:tcPr>
            <w:tcW w:w="760" w:type="dxa"/>
          </w:tcPr>
          <w:p>
            <w:r>
              <w:rPr>
                <w:rFonts w:hint="eastAsia"/>
              </w:rPr>
              <w:t>邮箱</w:t>
            </w:r>
          </w:p>
        </w:tc>
        <w:tc>
          <w:tcPr>
            <w:tcW w:w="2253" w:type="dxa"/>
          </w:tcPr>
          <w:p>
            <w:pPr>
              <w:rPr>
                <w:rFonts w:hint="default" w:eastAsia="宋体"/>
                <w:lang w:val="en-US" w:eastAsia="zh-CN"/>
              </w:rPr>
            </w:pPr>
            <w:r>
              <w:rPr>
                <w:rFonts w:hint="eastAsia"/>
                <w:lang w:val="en-US" w:eastAsia="zh-CN"/>
              </w:rPr>
              <w:t>369006476@qq.com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受审核组织的班次：□单班</w:t>
            </w:r>
            <w:r>
              <w:rPr>
                <w:rFonts w:hint="eastAsia"/>
                <w:highlight w:val="none"/>
              </w:rPr>
              <w:sym w:font="Wingdings 2" w:char="0052"/>
            </w:r>
            <w:r>
              <w:rPr>
                <w:rFonts w:hint="eastAsia"/>
                <w:highlight w:val="none"/>
              </w:rPr>
              <w:t>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sz w:val="24"/>
                <w:szCs w:val="24"/>
              </w:rPr>
              <w:t xml:space="preserve">原矿— 破碎 — 皮带运送 — </w:t>
            </w:r>
            <w:r>
              <w:rPr>
                <w:rFonts w:hint="eastAsia" w:ascii="宋体" w:hAnsi="宋体" w:eastAsia="宋体" w:cs="宋体"/>
                <w:sz w:val="24"/>
                <w:szCs w:val="24"/>
                <w:lang w:eastAsia="zh-CN"/>
              </w:rPr>
              <w:t>半自磨、</w:t>
            </w:r>
            <w:r>
              <w:rPr>
                <w:rFonts w:hint="eastAsia" w:ascii="宋体" w:hAnsi="宋体" w:eastAsia="宋体" w:cs="宋体"/>
                <w:sz w:val="24"/>
                <w:szCs w:val="24"/>
              </w:rPr>
              <w:t>球磨 — 分级 — 搅拌 — 铅粗选 — 扫选 — 铅</w:t>
            </w:r>
            <w:r>
              <w:rPr>
                <w:rFonts w:hint="eastAsia" w:ascii="宋体" w:hAnsi="宋体" w:eastAsia="宋体" w:cs="宋体"/>
                <w:sz w:val="24"/>
                <w:szCs w:val="24"/>
                <w:lang w:eastAsia="zh-CN"/>
              </w:rPr>
              <w:t>一次</w:t>
            </w:r>
            <w:r>
              <w:rPr>
                <w:rFonts w:hint="eastAsia" w:ascii="宋体" w:hAnsi="宋体" w:eastAsia="宋体" w:cs="宋体"/>
                <w:sz w:val="24"/>
                <w:szCs w:val="24"/>
              </w:rPr>
              <w:t>精选  — 铅</w:t>
            </w:r>
            <w:r>
              <w:rPr>
                <w:rFonts w:hint="eastAsia" w:ascii="宋体" w:hAnsi="宋体" w:eastAsia="宋体" w:cs="宋体"/>
                <w:sz w:val="24"/>
                <w:szCs w:val="24"/>
                <w:lang w:eastAsia="zh-CN"/>
              </w:rPr>
              <w:t>二次</w:t>
            </w:r>
            <w:r>
              <w:rPr>
                <w:rFonts w:hint="eastAsia" w:ascii="宋体" w:hAnsi="宋体" w:eastAsia="宋体" w:cs="宋体"/>
                <w:sz w:val="24"/>
                <w:szCs w:val="24"/>
              </w:rPr>
              <w:t>精选— 锌硫混合</w:t>
            </w:r>
            <w:r>
              <w:rPr>
                <w:rFonts w:hint="eastAsia" w:ascii="宋体" w:hAnsi="宋体" w:eastAsia="宋体" w:cs="宋体"/>
                <w:sz w:val="24"/>
                <w:szCs w:val="24"/>
                <w:lang w:eastAsia="zh-CN"/>
              </w:rPr>
              <w:t>一次</w:t>
            </w:r>
            <w:r>
              <w:rPr>
                <w:rFonts w:hint="eastAsia" w:ascii="宋体" w:hAnsi="宋体" w:eastAsia="宋体" w:cs="宋体"/>
                <w:sz w:val="24"/>
                <w:szCs w:val="24"/>
              </w:rPr>
              <w:t>粗选 — 锌硫混合</w:t>
            </w:r>
            <w:r>
              <w:rPr>
                <w:rFonts w:hint="eastAsia" w:ascii="宋体" w:hAnsi="宋体" w:eastAsia="宋体" w:cs="宋体"/>
                <w:sz w:val="24"/>
                <w:szCs w:val="24"/>
                <w:lang w:eastAsia="zh-CN"/>
              </w:rPr>
              <w:t>二次</w:t>
            </w:r>
            <w:r>
              <w:rPr>
                <w:rFonts w:hint="eastAsia" w:ascii="宋体" w:hAnsi="宋体" w:eastAsia="宋体" w:cs="宋体"/>
                <w:sz w:val="24"/>
                <w:szCs w:val="24"/>
              </w:rPr>
              <w:t>粗选—锌硫混合</w:t>
            </w:r>
            <w:r>
              <w:rPr>
                <w:rFonts w:hint="eastAsia" w:ascii="宋体" w:hAnsi="宋体" w:eastAsia="宋体" w:cs="宋体"/>
                <w:sz w:val="24"/>
                <w:szCs w:val="24"/>
                <w:lang w:eastAsia="zh-CN"/>
              </w:rPr>
              <w:t>一次扫选</w:t>
            </w:r>
            <w:r>
              <w:rPr>
                <w:rFonts w:hint="eastAsia" w:ascii="宋体" w:hAnsi="宋体" w:eastAsia="宋体" w:cs="宋体"/>
                <w:sz w:val="24"/>
                <w:szCs w:val="24"/>
              </w:rPr>
              <w:t>—锌硫混合</w:t>
            </w:r>
            <w:r>
              <w:rPr>
                <w:rFonts w:hint="eastAsia" w:ascii="宋体" w:hAnsi="宋体" w:eastAsia="宋体" w:cs="宋体"/>
                <w:sz w:val="24"/>
                <w:szCs w:val="24"/>
                <w:lang w:eastAsia="zh-CN"/>
              </w:rPr>
              <w:t>二次扫选</w:t>
            </w:r>
            <w:r>
              <w:rPr>
                <w:rFonts w:hint="eastAsia" w:ascii="宋体" w:hAnsi="宋体" w:eastAsia="宋体" w:cs="宋体"/>
                <w:sz w:val="24"/>
                <w:szCs w:val="24"/>
              </w:rPr>
              <w:t>— 锌硫分离粗选 — 锌硫分离扫选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锌</w:t>
            </w:r>
            <w:r>
              <w:rPr>
                <w:rFonts w:hint="eastAsia" w:ascii="宋体" w:hAnsi="宋体" w:eastAsia="宋体" w:cs="宋体"/>
                <w:sz w:val="24"/>
                <w:szCs w:val="24"/>
                <w:lang w:eastAsia="zh-CN"/>
              </w:rPr>
              <w:t>一次</w:t>
            </w:r>
            <w:r>
              <w:rPr>
                <w:rFonts w:hint="eastAsia" w:ascii="宋体" w:hAnsi="宋体" w:eastAsia="宋体" w:cs="宋体"/>
                <w:sz w:val="24"/>
                <w:szCs w:val="24"/>
              </w:rPr>
              <w:t>精选  — 锌</w:t>
            </w:r>
            <w:r>
              <w:rPr>
                <w:rFonts w:hint="eastAsia" w:ascii="宋体" w:hAnsi="宋体" w:eastAsia="宋体" w:cs="宋体"/>
                <w:sz w:val="24"/>
                <w:szCs w:val="24"/>
                <w:lang w:eastAsia="zh-CN"/>
              </w:rPr>
              <w:t>二次</w:t>
            </w:r>
            <w:r>
              <w:rPr>
                <w:rFonts w:hint="eastAsia" w:ascii="宋体" w:hAnsi="宋体" w:eastAsia="宋体" w:cs="宋体"/>
                <w:sz w:val="24"/>
                <w:szCs w:val="24"/>
              </w:rPr>
              <w:t xml:space="preserve">精选— 沉淀 — 脱水— </w:t>
            </w:r>
            <w:r>
              <w:rPr>
                <w:rFonts w:hint="eastAsia" w:ascii="宋体" w:hAnsi="宋体" w:eastAsia="宋体" w:cs="宋体"/>
                <w:sz w:val="24"/>
                <w:szCs w:val="24"/>
                <w:lang w:eastAsia="zh-CN"/>
              </w:rPr>
              <w:t>成品</w:t>
            </w:r>
            <w:r>
              <w:rPr>
                <w:rFonts w:hint="eastAsia" w:ascii="宋体" w:hAnsi="宋体" w:eastAsia="宋体" w:cs="宋体"/>
                <w:sz w:val="24"/>
                <w:szCs w:val="24"/>
              </w:rPr>
              <w:t>。</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2022年10月17日 上午至2022年10月21日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val="en-US" w:eastAsia="zh-CN"/>
              </w:rPr>
            </w:pPr>
            <w:r>
              <w:t>青海省西宁市五四大街52号</w:t>
            </w:r>
            <w:r>
              <w:rPr>
                <w:rFonts w:hint="eastAsia"/>
                <w:lang w:val="en-US" w:eastAsia="zh-CN"/>
              </w:rPr>
              <w:t>/</w:t>
            </w:r>
            <w:r>
              <w:rPr>
                <w:rFonts w:hint="eastAsia"/>
                <w:sz w:val="22"/>
                <w:szCs w:val="22"/>
                <w:lang w:val="en-US" w:eastAsia="zh-CN"/>
              </w:rPr>
              <w:t>青海省大柴旦行委锡铁山镇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音频</w:t>
            </w:r>
            <w:r>
              <w:rPr>
                <w:rFonts w:hint="eastAsia"/>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网络</w:t>
            </w:r>
            <w:r>
              <w:rPr>
                <w:rFonts w:hint="eastAsia"/>
                <w:lang w:val="de-DE"/>
              </w:rPr>
              <w:t>■</w:t>
            </w:r>
            <w:r>
              <w:rPr>
                <w:rFonts w:hint="eastAsia" w:ascii="宋体"/>
                <w:b/>
                <w:color w:val="0000FF"/>
                <w:szCs w:val="21"/>
              </w:rPr>
              <w:t>智能手机□手持设备</w:t>
            </w:r>
            <w:r>
              <w:rPr>
                <w:rFonts w:hint="eastAsia"/>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铅精矿和锌精矿的生产（不含采矿）</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02.06.02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lang w:val="de-DE"/>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rPr>
              <w:t>2021年06月09日 上午至2021年06月11日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w:t>
            </w:r>
            <w:r>
              <w:rPr>
                <w:rFonts w:hint="eastAsia" w:ascii="Times New Roman" w:hAnsi="Times New Roman" w:eastAsia="宋体" w:cs="Times New Roman"/>
              </w:rPr>
              <w:t>至2022-10-14</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pStyle w:val="2"/>
              <w:rPr>
                <w:rFonts w:hint="eastAsia" w:ascii="宋体" w:hAnsi="宋体" w:cs="宋体"/>
                <w:color w:val="000000"/>
                <w:kern w:val="0"/>
                <w:szCs w:val="21"/>
                <w:highlight w:val="none"/>
              </w:rPr>
            </w:pPr>
            <w:r>
              <w:rPr>
                <w:rFonts w:hint="eastAsia" w:ascii="宋体" w:hAnsi="宋体" w:cs="宋体"/>
                <w:color w:val="000000"/>
                <w:kern w:val="0"/>
                <w:szCs w:val="21"/>
                <w:highlight w:val="none"/>
              </w:rPr>
              <w:t>西部矿业股份有限公司</w:t>
            </w:r>
          </w:p>
          <w:p>
            <w:pPr>
              <w:pStyle w:val="2"/>
              <w:rPr>
                <w:rFonts w:hint="eastAsia" w:ascii="宋体" w:hAnsi="宋体" w:cs="宋体"/>
                <w:color w:val="000000"/>
                <w:kern w:val="0"/>
                <w:szCs w:val="21"/>
                <w:highlight w:val="none"/>
                <w:lang w:val="de-DE" w:eastAsia="ja-JP"/>
              </w:rPr>
            </w:pPr>
            <w:r>
              <w:rPr>
                <w:rFonts w:hint="eastAsia" w:ascii="宋体" w:hAnsi="宋体" w:cs="宋体"/>
                <w:color w:val="000000"/>
                <w:kern w:val="0"/>
                <w:szCs w:val="21"/>
                <w:highlight w:val="none"/>
              </w:rPr>
              <w:t>青海省西宁市五四大街52号</w:t>
            </w:r>
          </w:p>
        </w:tc>
        <w:tc>
          <w:tcPr>
            <w:tcW w:w="2267" w:type="dxa"/>
          </w:tcPr>
          <w:p>
            <w:pPr>
              <w:rPr>
                <w:rFonts w:hint="eastAsia"/>
                <w:highlight w:val="none"/>
              </w:rPr>
            </w:pPr>
            <w:r>
              <w:rPr>
                <w:rFonts w:hint="eastAsia"/>
                <w:highlight w:val="none"/>
              </w:rPr>
              <w:t>青海省西宁市五四大街52号</w:t>
            </w:r>
          </w:p>
          <w:p>
            <w:pPr>
              <w:pStyle w:val="2"/>
              <w:rPr>
                <w:highlight w:val="none"/>
                <w:lang w:val="de-DE" w:eastAsia="ja-JP"/>
              </w:rPr>
            </w:pPr>
            <w:r>
              <w:rPr>
                <w:rFonts w:hint="eastAsia" w:ascii="宋体" w:hAnsi="宋体" w:cs="宋体"/>
                <w:color w:val="000000"/>
                <w:kern w:val="0"/>
                <w:szCs w:val="21"/>
                <w:highlight w:val="none"/>
                <w:lang w:val="en-US" w:eastAsia="zh-CN"/>
              </w:rPr>
              <w:t>青海省大柴旦行委锡铁山镇</w:t>
            </w:r>
          </w:p>
        </w:tc>
        <w:tc>
          <w:tcPr>
            <w:tcW w:w="571" w:type="dxa"/>
            <w:vAlign w:val="center"/>
          </w:tcPr>
          <w:p>
            <w:pPr>
              <w:rPr>
                <w:rFonts w:hint="default" w:eastAsia="宋体"/>
                <w:lang w:val="en-US" w:eastAsia="zh-CN"/>
              </w:rPr>
            </w:pPr>
            <w:r>
              <w:rPr>
                <w:rFonts w:hint="eastAsia"/>
                <w:lang w:val="en-US" w:eastAsia="zh-CN"/>
              </w:rPr>
              <w:t>325</w:t>
            </w:r>
          </w:p>
        </w:tc>
        <w:tc>
          <w:tcPr>
            <w:tcW w:w="2803" w:type="dxa"/>
            <w:vAlign w:val="center"/>
          </w:tcPr>
          <w:p>
            <w:pPr>
              <w:rPr>
                <w:lang w:eastAsia="ja-JP"/>
              </w:rPr>
            </w:pPr>
            <w:r>
              <w:rPr>
                <w:rFonts w:hint="eastAsia" w:ascii="宋体" w:hAnsi="宋体" w:eastAsia="宋体" w:cs="宋体"/>
                <w:i w:val="0"/>
                <w:caps w:val="0"/>
                <w:color w:val="000000"/>
                <w:spacing w:val="0"/>
                <w:sz w:val="21"/>
                <w:szCs w:val="21"/>
                <w:shd w:val="clear" w:color="auto" w:fill="FFFFFF"/>
              </w:rPr>
              <w:t>铅精矿和锌精矿的生产</w:t>
            </w:r>
            <w:r>
              <w:rPr>
                <w:rFonts w:hint="eastAsia" w:ascii="宋体" w:hAnsi="宋体" w:eastAsia="宋体" w:cs="宋体"/>
                <w:i w:val="0"/>
                <w:caps w:val="0"/>
                <w:color w:val="000000"/>
                <w:spacing w:val="0"/>
                <w:sz w:val="21"/>
                <w:szCs w:val="21"/>
                <w:shd w:val="clear" w:color="auto" w:fill="FFFFFF"/>
                <w:lang w:val="en-US" w:eastAsia="zh-CN"/>
              </w:rPr>
              <w:t>（不含采矿）</w:t>
            </w:r>
          </w:p>
        </w:tc>
        <w:tc>
          <w:tcPr>
            <w:tcW w:w="669" w:type="dxa"/>
            <w:vAlign w:val="center"/>
          </w:tcPr>
          <w:p>
            <w:pPr>
              <w:rPr>
                <w:lang w:eastAsia="ja-JP"/>
              </w:rPr>
            </w:pPr>
            <w:bookmarkStart w:id="30" w:name="审核依据"/>
            <w:r>
              <w:rPr>
                <w:rFonts w:ascii="宋体" w:hAnsi="宋体" w:cs="宋体"/>
                <w:color w:val="000000"/>
                <w:kern w:val="0"/>
                <w:szCs w:val="21"/>
              </w:rPr>
              <w:t>GB/T19001-2016/ISO9001:2015</w:t>
            </w:r>
            <w:bookmarkEnd w:id="30"/>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02.06.02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总经理：贺三章，管代：范增鑫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de-DE"/>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在完成纠正措施后推荐认证注册(□初审</w:t>
            </w:r>
            <w:r>
              <w:rPr>
                <w:rFonts w:hint="eastAsia"/>
                <w:lang w:val="de-DE"/>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lang w:val="de-DE"/>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147955</wp:posOffset>
                  </wp:positionH>
                  <wp:positionV relativeFrom="paragraph">
                    <wp:posOffset>8890</wp:posOffset>
                  </wp:positionV>
                  <wp:extent cx="694690" cy="327025"/>
                  <wp:effectExtent l="0" t="0" r="0" b="8890"/>
                  <wp:wrapNone/>
                  <wp:docPr id="1" name="图片 1"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涛签名透明1"/>
                          <pic:cNvPicPr>
                            <a:picLocks noChangeAspect="1"/>
                          </pic:cNvPicPr>
                        </pic:nvPicPr>
                        <pic:blipFill>
                          <a:blip r:embed="rId6"/>
                          <a:stretch>
                            <a:fillRect/>
                          </a:stretch>
                        </pic:blipFill>
                        <pic:spPr>
                          <a:xfrm>
                            <a:off x="0" y="0"/>
                            <a:ext cx="694690" cy="3270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2022.10.21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10" w:hRule="atLeast"/>
        </w:trPr>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val="de-DE"/>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446" w:hRule="atLeast"/>
        </w:trPr>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pPr>
            <w:r>
              <w:rPr>
                <w:rFonts w:hint="eastAsia"/>
              </w:rPr>
              <w:t>影响运行的重要</w:t>
            </w:r>
            <w:r>
              <w:rPr>
                <w:rFonts w:hint="eastAsia"/>
                <w:lang w:val="en-GB"/>
              </w:rPr>
              <w:t>过程如下</w:t>
            </w:r>
            <w:r>
              <w:rPr>
                <w:rFonts w:hint="eastAsia"/>
              </w:rPr>
              <w:t>:</w:t>
            </w:r>
            <w:r>
              <w:rPr>
                <w:rFonts w:hint="eastAsia"/>
                <w:lang w:val="en-GB"/>
              </w:rPr>
              <w:t xml:space="preserve"> （</w:t>
            </w:r>
            <w:r>
              <w:rPr>
                <w:rFonts w:hint="eastAsia"/>
              </w:rPr>
              <w:t>不必全选</w:t>
            </w:r>
            <w:r>
              <w:rPr>
                <w:rFonts w:hint="eastAsia"/>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pPr>
            <w:r>
              <w:rPr>
                <w:rFonts w:hint="eastAsia"/>
              </w:rPr>
              <w:t>影响体系运行的外包</w:t>
            </w:r>
            <w:r>
              <w:rPr>
                <w:rFonts w:hint="eastAsia"/>
                <w:lang w:val="en-GB"/>
              </w:rPr>
              <w:t>过程如下</w:t>
            </w:r>
            <w:r>
              <w:rPr>
                <w:rFonts w:hint="eastAsia"/>
              </w:rPr>
              <w:t>:</w:t>
            </w:r>
            <w:r>
              <w:rPr>
                <w:rFonts w:hint="eastAsia"/>
                <w:lang w:val="en-GB"/>
              </w:rPr>
              <w:t xml:space="preserve"> （</w:t>
            </w:r>
            <w:r>
              <w:rPr>
                <w:rFonts w:hint="eastAsia"/>
              </w:rPr>
              <w:t>根据实际情况选择</w:t>
            </w:r>
            <w:r>
              <w:rPr>
                <w:rFonts w:hint="eastAsia"/>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精耕细作回报股东、客户至上树立品牌、持续改进矿业报国</w:t>
            </w:r>
          </w:p>
          <w:p>
            <w:pPr>
              <w:pStyle w:val="2"/>
              <w:rPr>
                <w:rFonts w:hint="eastAsia"/>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宋体" w:hAnsi="宋体" w:cs="宋体"/>
                <w:bCs/>
                <w:sz w:val="21"/>
                <w:szCs w:val="21"/>
              </w:rPr>
              <w:t>质量工艺技术管理部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1、对客户的要求</w:t>
                  </w:r>
                  <w:r>
                    <w:rPr>
                      <w:rFonts w:hint="eastAsia" w:ascii="宋体" w:hAnsi="宋体" w:cs="宋体"/>
                      <w:color w:val="000000"/>
                      <w:kern w:val="0"/>
                      <w:sz w:val="20"/>
                      <w:szCs w:val="20"/>
                      <w:lang w:eastAsia="zh-CN"/>
                    </w:rPr>
                    <w:t>供销部</w:t>
                  </w:r>
                  <w:r>
                    <w:rPr>
                      <w:rFonts w:hint="eastAsia" w:ascii="宋体" w:hAnsi="宋体" w:cs="宋体"/>
                      <w:color w:val="000000"/>
                      <w:kern w:val="0"/>
                      <w:sz w:val="20"/>
                      <w:szCs w:val="20"/>
                    </w:rPr>
                    <w:t>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w:t>
                  </w:r>
                  <w:r>
                    <w:rPr>
                      <w:rFonts w:hint="eastAsia" w:ascii="宋体" w:hAnsi="宋体" w:eastAsia="宋体" w:cs="宋体"/>
                      <w:color w:val="000000"/>
                      <w:kern w:val="0"/>
                      <w:sz w:val="20"/>
                      <w:szCs w:val="20"/>
                    </w:rPr>
                    <w:t>：《顾客满意度控制程序》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生产过程</w:t>
                  </w:r>
                </w:p>
              </w:tc>
              <w:tc>
                <w:tcPr>
                  <w:tcW w:w="5596" w:type="dxa"/>
                  <w:vAlign w:val="top"/>
                </w:tcPr>
                <w:p>
                  <w:pPr>
                    <w:numPr>
                      <w:ilvl w:val="0"/>
                      <w:numId w:val="2"/>
                    </w:numPr>
                    <w:shd w:val="clear" w:color="auto" w:fill="C7DAF1" w:themeFill="text2" w:themeFillTint="32"/>
                    <w:rPr>
                      <w:rFonts w:hint="eastAsia" w:ascii="宋体" w:hAnsi="宋体" w:cs="宋体"/>
                      <w:color w:val="000000"/>
                      <w:kern w:val="0"/>
                      <w:sz w:val="20"/>
                      <w:szCs w:val="20"/>
                    </w:rPr>
                  </w:pPr>
                  <w:r>
                    <w:rPr>
                      <w:rFonts w:hint="eastAsia" w:ascii="宋体" w:hAnsi="宋体" w:cs="宋体"/>
                      <w:color w:val="000000"/>
                      <w:kern w:val="0"/>
                      <w:sz w:val="20"/>
                      <w:szCs w:val="20"/>
                    </w:rPr>
                    <w:t>合理安排生产计划；</w:t>
                  </w:r>
                </w:p>
                <w:p>
                  <w:pPr>
                    <w:numPr>
                      <w:ilvl w:val="0"/>
                      <w:numId w:val="0"/>
                    </w:num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w:t>
                  </w:r>
                  <w:r>
                    <w:rPr>
                      <w:rFonts w:hint="eastAsia" w:ascii="宋体" w:hAnsi="宋体" w:cs="宋体"/>
                      <w:color w:val="000000"/>
                      <w:kern w:val="0"/>
                      <w:sz w:val="20"/>
                      <w:szCs w:val="20"/>
                      <w:lang w:eastAsia="zh-CN"/>
                    </w:rPr>
                    <w:t>管理</w:t>
                  </w:r>
                  <w:r>
                    <w:rPr>
                      <w:rFonts w:hint="eastAsia" w:ascii="宋体" w:hAnsi="宋体" w:cs="宋体"/>
                      <w:color w:val="000000"/>
                      <w:kern w:val="0"/>
                      <w:sz w:val="20"/>
                      <w:szCs w:val="20"/>
                    </w:rPr>
                    <w:t>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cs="宋体"/>
                      <w:color w:val="000000"/>
                      <w:kern w:val="0"/>
                      <w:sz w:val="20"/>
                      <w:szCs w:val="20"/>
                      <w:lang w:val="en-US" w:eastAsia="zh-CN"/>
                    </w:rPr>
                    <w:t>供销部</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eastAsia="zh-CN"/>
                    </w:rPr>
                    <w:t>化验规程</w:t>
                  </w:r>
                  <w:r>
                    <w:rPr>
                      <w:rFonts w:hint="eastAsia" w:ascii="宋体" w:hAnsi="宋体" w:cs="宋体"/>
                      <w:color w:val="000000"/>
                      <w:kern w:val="0"/>
                      <w:sz w:val="20"/>
                      <w:szCs w:val="20"/>
                    </w:rPr>
                    <w:t>，规定抽样方案和接收、判退规定；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w:t>
                  </w:r>
                  <w:r>
                    <w:rPr>
                      <w:rFonts w:hint="eastAsia" w:ascii="宋体" w:hAnsi="宋体" w:eastAsia="宋体" w:cs="宋体"/>
                      <w:color w:val="000000"/>
                      <w:kern w:val="0"/>
                      <w:sz w:val="20"/>
                      <w:szCs w:val="20"/>
                    </w:rPr>
                    <w:t>件：《产品检验和试验控制程序》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设备管理过程</w:t>
                  </w:r>
                </w:p>
              </w:tc>
              <w:tc>
                <w:tcPr>
                  <w:tcW w:w="5596" w:type="dxa"/>
                  <w:vAlign w:val="top"/>
                </w:tcPr>
                <w:p>
                  <w:pPr>
                    <w:shd w:val="clear" w:color="auto" w:fill="C7DAF1" w:themeFill="text2" w:themeFillTint="32"/>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1、设备建立日常保养制度、定期保养计划；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2、设备产能分析；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3、设备建立易损件备品备件清单；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相关文件：《基础设施控制程序》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全国市场及基础建设需求增大带来机遇</w:t>
                  </w:r>
                </w:p>
              </w:tc>
              <w:tc>
                <w:tcPr>
                  <w:tcW w:w="5596" w:type="dxa"/>
                  <w:vAlign w:val="top"/>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保证生产能力、提高业务人员水平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组织建立了与方针一致的文件化的管理目标。为实现总质量目标而建立的各层级质量目标具体、有针对性、可测量并且可实现。</w:t>
            </w:r>
          </w:p>
          <w:p>
            <w:pPr>
              <w:pStyle w:val="2"/>
              <w:rPr>
                <w:rFonts w:hint="eastAsia"/>
              </w:rPr>
            </w:pPr>
          </w:p>
          <w:p>
            <w:pPr>
              <w:pStyle w:val="2"/>
              <w:rPr>
                <w:rFonts w:hint="eastAsia"/>
              </w:rPr>
            </w:pPr>
          </w:p>
          <w:p>
            <w:pPr>
              <w:pStyle w:val="2"/>
              <w:rPr>
                <w:rFonts w:hint="eastAsia"/>
              </w:rPr>
            </w:pPr>
          </w:p>
          <w:p>
            <w:pPr>
              <w:shd w:val="clear" w:color="auto" w:fill="C7DAF1" w:themeFill="text2" w:themeFillTint="32"/>
              <w:rPr>
                <w:rFonts w:hint="eastAsia"/>
              </w:rPr>
            </w:pP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sz w:val="24"/>
                      <w:szCs w:val="24"/>
                    </w:rPr>
                    <w:t xml:space="preserve">产品一次交验合格率≥97%；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p>
              </w:tc>
              <w:tc>
                <w:tcPr>
                  <w:tcW w:w="3136" w:type="dxa"/>
                  <w:shd w:val="clear" w:color="auto" w:fill="auto"/>
                  <w:vAlign w:val="center"/>
                </w:tcPr>
                <w:p>
                  <w:pPr>
                    <w:shd w:val="clear" w:color="auto" w:fill="C7DAF1" w:themeFill="text2" w:themeFillTint="32"/>
                    <w:rPr>
                      <w:rFonts w:ascii="宋体" w:hAnsi="宋体"/>
                    </w:rPr>
                  </w:pPr>
                  <w:r>
                    <w:rPr>
                      <w:rFonts w:hint="eastAsia" w:eastAsia="宋体"/>
                    </w:rPr>
                    <w:t>成品一次交检合格率=（成品一次交检合格批数/交检总批数）×100%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cs="宋体"/>
                      <w:sz w:val="21"/>
                      <w:szCs w:val="21"/>
                    </w:rPr>
                    <w:t>质量工艺技术管理部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sz w:val="24"/>
                      <w:szCs w:val="24"/>
                    </w:rPr>
                    <w:t xml:space="preserve">铅精矿一级品率达到97%以上    </w:t>
                  </w:r>
                  <w:r>
                    <w:rPr>
                      <w:rFonts w:hint="eastAsia" w:ascii="宋体" w:hAnsi="宋体" w:cs="宋体"/>
                      <w:sz w:val="24"/>
                      <w:szCs w:val="24"/>
                      <w:lang w:val="en-US" w:eastAsia="zh-CN"/>
                    </w:rPr>
                    <w:t xml:space="preserve"> </w:t>
                  </w:r>
                </w:p>
              </w:tc>
              <w:tc>
                <w:tcPr>
                  <w:tcW w:w="3136"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化验结论</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cs="宋体"/>
                      <w:sz w:val="21"/>
                      <w:szCs w:val="21"/>
                    </w:rPr>
                    <w:t>质量工艺技术管理部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宋体"/>
                      <w:sz w:val="24"/>
                      <w:szCs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sz w:val="24"/>
                      <w:szCs w:val="24"/>
                    </w:rPr>
                    <w:t xml:space="preserve">锌精矿三级品率达到98%以上；  </w:t>
                  </w:r>
                  <w:r>
                    <w:rPr>
                      <w:rFonts w:hint="eastAsia" w:ascii="宋体" w:hAnsi="宋体" w:cs="宋体"/>
                      <w:sz w:val="24"/>
                      <w:szCs w:val="24"/>
                      <w:lang w:val="en-US" w:eastAsia="zh-CN"/>
                    </w:rPr>
                    <w:t xml:space="preserve"> </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lang w:eastAsia="zh-CN"/>
                    </w:rPr>
                    <w:t>化验结论</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cs="宋体"/>
                      <w:sz w:val="21"/>
                      <w:szCs w:val="21"/>
                    </w:rPr>
                    <w:t>质量工艺技术管理部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宋体"/>
                      <w:sz w:val="24"/>
                      <w:szCs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sz w:val="24"/>
                      <w:szCs w:val="24"/>
                    </w:rPr>
                    <w:t xml:space="preserve">顾客满意率≥96%。           </w:t>
                  </w:r>
                  <w:r>
                    <w:rPr>
                      <w:rFonts w:hint="eastAsia" w:ascii="宋体" w:hAnsi="宋体" w:cs="宋体"/>
                      <w:sz w:val="24"/>
                      <w:szCs w:val="24"/>
                      <w:lang w:val="en-US" w:eastAsia="zh-CN"/>
                    </w:rPr>
                    <w:t xml:space="preserve">  </w:t>
                  </w:r>
                </w:p>
              </w:tc>
              <w:tc>
                <w:tcPr>
                  <w:tcW w:w="3136"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供销部统计</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cs="宋体"/>
                      <w:sz w:val="24"/>
                      <w:szCs w:val="24"/>
                      <w:lang w:val="en-US" w:eastAsia="zh-CN"/>
                    </w:rPr>
                    <w:t>99.4</w:t>
                  </w:r>
                  <w:r>
                    <w:rPr>
                      <w:rFonts w:hint="eastAsia" w:ascii="宋体" w:hAnsi="宋体" w:eastAsia="宋体" w:cs="宋体"/>
                      <w:sz w:val="24"/>
                      <w:szCs w:val="24"/>
                    </w:rPr>
                    <w:t>%</w:t>
                  </w:r>
                </w:p>
              </w:tc>
            </w:tr>
          </w:tbl>
          <w:p>
            <w:pPr>
              <w:shd w:val="clear" w:color="auto" w:fill="C7DAF1" w:themeFill="text2" w:themeFillTint="32"/>
            </w:pPr>
            <w:r>
              <w:rPr>
                <w:rFonts w:hint="eastAsia" w:ascii="宋体" w:hAnsi="宋体"/>
                <w:b/>
                <w:bCs/>
                <w:sz w:val="20"/>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w:t>
            </w:r>
            <w:r>
              <w:rPr>
                <w:rFonts w:hint="eastAsia" w:ascii="宋体" w:hAnsi="宋体"/>
                <w:b/>
                <w:bCs/>
                <w:sz w:val="20"/>
              </w:rPr>
              <w:t>■</w:t>
            </w:r>
            <w:r>
              <w:rPr>
                <w:rFonts w:hint="eastAsia"/>
              </w:rPr>
              <w:t>主要原材料</w:t>
            </w:r>
            <w:r>
              <w:rPr>
                <w:rFonts w:hint="eastAsia" w:ascii="宋体" w:hAnsi="宋体"/>
                <w:b/>
                <w:bCs/>
                <w:sz w:val="20"/>
              </w:rPr>
              <w:t>■</w:t>
            </w:r>
            <w:r>
              <w:rPr>
                <w:rFonts w:hint="eastAsia"/>
              </w:rPr>
              <w:t>关键人员</w:t>
            </w:r>
            <w:r>
              <w:rPr>
                <w:rFonts w:hint="eastAsia" w:ascii="宋体" w:hAnsi="宋体"/>
                <w:b/>
                <w:bCs/>
                <w:sz w:val="20"/>
              </w:rPr>
              <w:t>■</w:t>
            </w:r>
            <w:r>
              <w:rPr>
                <w:rFonts w:hint="eastAsia"/>
              </w:rPr>
              <w:t>生产工艺/服务流程</w:t>
            </w:r>
          </w:p>
          <w:p>
            <w:pPr>
              <w:shd w:val="clear" w:color="auto" w:fill="C7DAF1" w:themeFill="text2" w:themeFillTint="32"/>
              <w:spacing w:before="40" w:after="40"/>
            </w:pPr>
            <w:r>
              <w:rPr>
                <w:rFonts w:hint="eastAsia" w:ascii="宋体" w:hAnsi="宋体"/>
                <w:b/>
                <w:bCs/>
                <w:sz w:val="20"/>
              </w:rPr>
              <w:t>■</w:t>
            </w:r>
            <w:r>
              <w:rPr>
                <w:rFonts w:hint="eastAsia"/>
              </w:rPr>
              <w:t>主要设备设施</w:t>
            </w:r>
            <w:r>
              <w:rPr>
                <w:rFonts w:hint="eastAsia" w:ascii="宋体" w:hAnsi="宋体"/>
                <w:b/>
                <w:bCs/>
                <w:sz w:val="20"/>
              </w:rPr>
              <w:t>■</w:t>
            </w:r>
            <w:r>
              <w:rPr>
                <w:rFonts w:hint="eastAsia"/>
              </w:rPr>
              <w:t>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b/>
                <w:bCs/>
                <w:sz w:val="20"/>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b/>
                <w:bCs/>
                <w:sz w:val="20"/>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面积平方米；生</w:t>
            </w:r>
            <w:r>
              <w:rPr>
                <w:rFonts w:hint="eastAsia"/>
              </w:rPr>
              <w:t>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cs="宋体"/>
                <w:bCs/>
                <w:color w:val="auto"/>
                <w:sz w:val="21"/>
                <w:szCs w:val="21"/>
              </w:rPr>
              <w:t>颚式破碎机、半自磨机、球磨机、旋流器、渣浆泵、泡沫泵、浮选机、陶瓷过滤机、1#-5#皮带运输</w:t>
            </w:r>
            <w:bookmarkStart w:id="34" w:name="_GoBack"/>
            <w:bookmarkEnd w:id="34"/>
            <w:r>
              <w:rPr>
                <w:rFonts w:hint="eastAsia" w:ascii="宋体" w:hAnsi="宋体" w:cs="宋体"/>
                <w:bCs/>
                <w:color w:val="auto"/>
                <w:sz w:val="21"/>
                <w:szCs w:val="21"/>
              </w:rPr>
              <w:t>机、鼓风机、浓密机等</w:t>
            </w:r>
          </w:p>
          <w:p>
            <w:pPr>
              <w:shd w:val="clear" w:color="auto" w:fill="C7DAF1" w:themeFill="text2" w:themeFillTint="32"/>
            </w:pPr>
            <w:r>
              <w:rPr>
                <w:rFonts w:hint="eastAsia"/>
              </w:rPr>
              <w:t>特种设备：</w:t>
            </w:r>
            <w:r>
              <w:rPr>
                <w:rFonts w:hint="eastAsia" w:ascii="宋体" w:hAnsi="宋体"/>
                <w:b/>
                <w:bCs/>
                <w:sz w:val="20"/>
              </w:rPr>
              <w:t>■</w:t>
            </w:r>
            <w:r>
              <w:rPr>
                <w:rFonts w:hint="eastAsia"/>
              </w:rPr>
              <w:t>叉车</w:t>
            </w:r>
            <w:r>
              <w:rPr>
                <w:rFonts w:hint="eastAsia" w:ascii="宋体" w:hAnsi="宋体"/>
                <w:b/>
                <w:bCs/>
                <w:sz w:val="20"/>
              </w:rPr>
              <w:t>■</w:t>
            </w:r>
            <w:r>
              <w:rPr>
                <w:rFonts w:hint="eastAsia"/>
              </w:rPr>
              <w:t>行车</w:t>
            </w:r>
            <w:r>
              <w:rPr>
                <w:rFonts w:hint="eastAsia" w:ascii="宋体" w:hAnsi="宋体"/>
                <w:b/>
                <w:bCs/>
                <w:sz w:val="20"/>
              </w:rPr>
              <w:t>■</w:t>
            </w:r>
            <w:r>
              <w:rPr>
                <w:rFonts w:hint="eastAsia"/>
              </w:rPr>
              <w:t>锅炉</w:t>
            </w:r>
            <w:r>
              <w:rPr>
                <w:rFonts w:hint="eastAsia" w:ascii="Wingdings" w:hAnsi="Wingdings"/>
              </w:rPr>
              <w:t>¨</w:t>
            </w:r>
            <w:r>
              <w:rPr>
                <w:rFonts w:hint="eastAsia"/>
              </w:rPr>
              <w:t>电梯</w:t>
            </w:r>
            <w:r>
              <w:rPr>
                <w:rFonts w:hint="eastAsia" w:ascii="宋体" w:hAnsi="宋体"/>
                <w:b/>
                <w:bCs/>
                <w:sz w:val="20"/>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宋体" w:hAnsi="宋体"/>
                <w:b/>
                <w:bCs/>
                <w:sz w:val="20"/>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b/>
                <w:bCs/>
                <w:sz w:val="20"/>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b/>
                <w:bCs/>
                <w:sz w:val="20"/>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b/>
                <w:bCs/>
                <w:sz w:val="20"/>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b/>
                <w:bCs/>
                <w:sz w:val="20"/>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s="宋体"/>
                <w:color w:val="auto"/>
                <w:sz w:val="21"/>
                <w:szCs w:val="21"/>
              </w:rPr>
              <w:t>双管定碳炉、原子吸收分光光度计、电子天平</w:t>
            </w:r>
            <w:r>
              <w:rPr>
                <w:rFonts w:hint="eastAsia" w:ascii="宋体" w:hAnsi="宋体" w:cs="宋体"/>
                <w:bCs/>
                <w:color w:val="auto"/>
                <w:sz w:val="21"/>
                <w:szCs w:val="21"/>
              </w:rPr>
              <w:t>等</w:t>
            </w:r>
          </w:p>
          <w:p>
            <w:pPr>
              <w:shd w:val="clear" w:color="auto" w:fill="C7DAF1" w:themeFill="text2" w:themeFillTint="32"/>
              <w:rPr>
                <w:u w:val="single"/>
              </w:rPr>
            </w:pPr>
            <w:r>
              <w:rPr>
                <w:rFonts w:hint="eastAsia"/>
              </w:rPr>
              <w:t>计量器具管理：</w:t>
            </w:r>
            <w:r>
              <w:rPr>
                <w:rFonts w:hint="eastAsia" w:ascii="宋体" w:hAnsi="宋体"/>
                <w:b/>
                <w:bCs/>
                <w:sz w:val="20"/>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■招聘 ■换岗  ■培训  ■考核   </w:t>
            </w:r>
            <w:r>
              <w:rPr>
                <w:rFonts w:hint="eastAsia" w:ascii="Wingdings" w:hAnsi="Wingdings"/>
                <w:highlight w:val="none"/>
              </w:rPr>
              <w:t>¨</w:t>
            </w:r>
            <w:r>
              <w:rPr>
                <w:rFonts w:hint="eastAsia"/>
                <w:highlight w:val="none"/>
              </w:rPr>
              <w:t xml:space="preserve">辅导  </w:t>
            </w:r>
            <w:r>
              <w:rPr>
                <w:rFonts w:hint="eastAsia" w:ascii="Wingdings" w:hAnsi="Wingdings"/>
                <w:highlight w:val="none"/>
              </w:rPr>
              <w:t>¨</w:t>
            </w:r>
            <w:r>
              <w:rPr>
                <w:rFonts w:hint="eastAsia"/>
                <w:highlight w:val="none"/>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 xml:space="preserve">特种作业人员：■电工 ■焊工  </w:t>
            </w:r>
            <w:r>
              <w:rPr>
                <w:rFonts w:hint="eastAsia" w:ascii="Wingdings" w:hAnsi="Wingdings"/>
                <w:highlight w:val="none"/>
              </w:rPr>
              <w:t>¨</w:t>
            </w:r>
            <w:r>
              <w:rPr>
                <w:rFonts w:hint="eastAsia"/>
                <w:highlight w:val="none"/>
              </w:rPr>
              <w:t xml:space="preserve">危化品作业  </w:t>
            </w:r>
            <w:r>
              <w:rPr>
                <w:rFonts w:hint="eastAsia" w:ascii="Wingdings" w:hAnsi="Wingdings"/>
                <w:highlight w:val="none"/>
              </w:rPr>
              <w:t>¨</w:t>
            </w:r>
            <w:r>
              <w:rPr>
                <w:rFonts w:hint="eastAsia"/>
                <w:highlight w:val="none"/>
              </w:rPr>
              <w:t xml:space="preserve">制冷工   </w:t>
            </w:r>
            <w:r>
              <w:rPr>
                <w:rFonts w:hint="eastAsia" w:ascii="Wingdings" w:hAnsi="Wingdings"/>
                <w:highlight w:val="none"/>
              </w:rPr>
              <w:t>¨</w:t>
            </w:r>
            <w:r>
              <w:rPr>
                <w:rFonts w:hint="eastAsia"/>
                <w:highlight w:val="none"/>
              </w:rPr>
              <w:t xml:space="preserve">其他  </w:t>
            </w:r>
          </w:p>
          <w:p>
            <w:pPr>
              <w:shd w:val="clear" w:color="auto" w:fill="C7DAF1" w:themeFill="text2" w:themeFillTint="32"/>
            </w:pPr>
            <w:r>
              <w:rPr>
                <w:rFonts w:hint="eastAsia"/>
                <w:highlight w:val="none"/>
              </w:rPr>
              <w:t xml:space="preserve">特种设备作业人员：■叉车工 ■行车工  ■锅炉工  </w:t>
            </w:r>
            <w:r>
              <w:rPr>
                <w:rFonts w:hint="eastAsia" w:ascii="Wingdings" w:hAnsi="Wingdings"/>
                <w:highlight w:val="none"/>
              </w:rPr>
              <w:t>¨</w:t>
            </w:r>
            <w:r>
              <w:rPr>
                <w:rFonts w:hint="eastAsia"/>
                <w:highlight w:val="none"/>
              </w:rPr>
              <w:t xml:space="preserve">压力容器   </w:t>
            </w:r>
            <w:r>
              <w:rPr>
                <w:rFonts w:hint="eastAsia" w:ascii="Wingdings" w:hAnsi="Wingdings"/>
                <w:highlight w:val="none"/>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48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shd w:val="clear" w:color="auto" w:fill="C7DAF1" w:themeFill="text2" w:themeFillTint="32"/>
                    <w:jc w:val="left"/>
                  </w:pPr>
                  <w:r>
                    <w:rPr>
                      <w:rFonts w:hint="eastAsia"/>
                    </w:rPr>
                    <w:t>产品/服务名称</w:t>
                  </w:r>
                </w:p>
              </w:tc>
              <w:tc>
                <w:tcPr>
                  <w:tcW w:w="348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shd w:val="clear" w:color="auto" w:fill="C7DAF1" w:themeFill="text2" w:themeFillTint="32"/>
                    <w:jc w:val="left"/>
                    <w:rPr>
                      <w:highlight w:val="none"/>
                    </w:rPr>
                  </w:pPr>
                  <w:r>
                    <w:rPr>
                      <w:sz w:val="20"/>
                      <w:highlight w:val="none"/>
                    </w:rPr>
                    <w:t>铅精矿和锌精矿</w:t>
                  </w:r>
                </w:p>
              </w:tc>
              <w:tc>
                <w:tcPr>
                  <w:tcW w:w="3481" w:type="dxa"/>
                </w:tcPr>
                <w:p>
                  <w:pPr>
                    <w:shd w:val="clear" w:color="auto" w:fill="C7DAF1" w:themeFill="text2" w:themeFillTint="32"/>
                    <w:jc w:val="left"/>
                    <w:rPr>
                      <w:highlight w:val="none"/>
                    </w:rPr>
                  </w:pPr>
                  <w:r>
                    <w:rPr>
                      <w:rFonts w:hint="eastAsia" w:ascii="宋体" w:hAnsi="宋体" w:cs="宋体"/>
                      <w:bCs/>
                      <w:color w:val="000000" w:themeColor="text1"/>
                      <w:sz w:val="21"/>
                      <w:szCs w:val="21"/>
                      <w:highlight w:val="none"/>
                    </w:rPr>
                    <w:t>浮选过程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选矿品位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shd w:val="clear" w:color="auto" w:fill="C7DAF1" w:themeFill="text2" w:themeFillTint="32"/>
                    <w:jc w:val="left"/>
                  </w:pPr>
                </w:p>
              </w:tc>
              <w:tc>
                <w:tcPr>
                  <w:tcW w:w="3481"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shd w:val="clear" w:color="auto" w:fill="C7DAF1" w:themeFill="text2" w:themeFillTint="32"/>
                    <w:jc w:val="left"/>
                  </w:pPr>
                </w:p>
              </w:tc>
              <w:tc>
                <w:tcPr>
                  <w:tcW w:w="3481"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无</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维修</w:t>
            </w:r>
            <w:r>
              <w:rPr>
                <w:rFonts w:hint="eastAsia"/>
                <w:lang w:val="en-US" w:eastAsia="zh-CN"/>
              </w:rPr>
              <w:t xml:space="preserve"> </w:t>
            </w:r>
            <w:r>
              <w:rPr>
                <w:rFonts w:hint="eastAsia"/>
              </w:rPr>
              <w:t xml:space="preserve">■赔偿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lang w:val="en-US" w:eastAsia="zh-CN"/>
              </w:rPr>
              <w:t>2022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4-5</w:t>
            </w:r>
            <w:r>
              <w:rPr>
                <w:rFonts w:hint="eastAsia"/>
                <w:highlight w:val="none"/>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w:t>
            </w:r>
            <w:r>
              <w:rPr>
                <w:rFonts w:hint="eastAsia"/>
                <w:highlight w:val="none"/>
              </w:rPr>
              <w:t>理者已按策划的时间间隔，在</w:t>
            </w:r>
            <w:r>
              <w:rPr>
                <w:rFonts w:hint="eastAsia"/>
                <w:highlight w:val="none"/>
                <w:lang w:val="en-US" w:eastAsia="zh-CN"/>
              </w:rPr>
              <w:t>2022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19</w:t>
            </w:r>
            <w:r>
              <w:rPr>
                <w:rFonts w:hint="eastAsia"/>
                <w:highlight w:val="none"/>
              </w:rPr>
              <w:t>日对组织的质量管理</w:t>
            </w:r>
            <w:r>
              <w:rPr>
                <w:rFonts w:hint="eastAsia"/>
              </w:rPr>
              <w:t>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4.1</w:t>
            </w:r>
          </w:p>
        </w:tc>
        <w:tc>
          <w:tcPr>
            <w:tcW w:w="650" w:type="dxa"/>
            <w:vAlign w:val="center"/>
          </w:tcPr>
          <w:p>
            <w:pPr>
              <w:shd w:val="clear" w:color="auto" w:fill="C7DAF1" w:themeFill="text2" w:themeFillTint="32"/>
              <w:rPr>
                <w:lang w:eastAsia="ja-JP"/>
              </w:rPr>
            </w:pPr>
            <w:r>
              <w:rPr>
                <w:rFonts w:hint="eastAsia"/>
                <w:highlight w:val="none"/>
              </w:rPr>
              <w:t>4.2</w:t>
            </w:r>
          </w:p>
        </w:tc>
        <w:tc>
          <w:tcPr>
            <w:tcW w:w="650" w:type="dxa"/>
            <w:vAlign w:val="center"/>
          </w:tcPr>
          <w:p>
            <w:pPr>
              <w:shd w:val="clear" w:color="auto" w:fill="C7DAF1" w:themeFill="text2" w:themeFillTint="32"/>
              <w:rPr>
                <w:lang w:eastAsia="ja-JP"/>
              </w:rPr>
            </w:pPr>
            <w:r>
              <w:rPr>
                <w:rFonts w:hint="eastAsia"/>
                <w:highlight w:val="none"/>
              </w:rPr>
              <w:t>4.3</w:t>
            </w:r>
          </w:p>
        </w:tc>
        <w:tc>
          <w:tcPr>
            <w:tcW w:w="649" w:type="dxa"/>
            <w:vAlign w:val="center"/>
          </w:tcPr>
          <w:p>
            <w:pPr>
              <w:shd w:val="clear" w:color="auto" w:fill="C7DAF1" w:themeFill="text2" w:themeFillTint="32"/>
              <w:rPr>
                <w:lang w:eastAsia="ja-JP"/>
              </w:rPr>
            </w:pPr>
            <w:r>
              <w:rPr>
                <w:rFonts w:hint="eastAsia"/>
                <w:highlight w:val="none"/>
              </w:rPr>
              <w:t>4.4</w:t>
            </w:r>
          </w:p>
        </w:tc>
        <w:tc>
          <w:tcPr>
            <w:tcW w:w="650" w:type="dxa"/>
            <w:vAlign w:val="center"/>
          </w:tcPr>
          <w:p>
            <w:pPr>
              <w:shd w:val="clear" w:color="auto" w:fill="C7DAF1" w:themeFill="text2" w:themeFillTint="32"/>
              <w:rPr>
                <w:lang w:eastAsia="ja-JP"/>
              </w:rPr>
            </w:pPr>
            <w:r>
              <w:rPr>
                <w:rFonts w:hint="eastAsia"/>
                <w:highlight w:val="none"/>
              </w:rPr>
              <w:t>5.1</w:t>
            </w:r>
          </w:p>
        </w:tc>
        <w:tc>
          <w:tcPr>
            <w:tcW w:w="650" w:type="dxa"/>
            <w:vAlign w:val="center"/>
          </w:tcPr>
          <w:p>
            <w:pPr>
              <w:shd w:val="clear" w:color="auto" w:fill="C7DAF1" w:themeFill="text2" w:themeFillTint="32"/>
              <w:rPr>
                <w:lang w:eastAsia="ja-JP"/>
              </w:rPr>
            </w:pPr>
            <w:r>
              <w:rPr>
                <w:rFonts w:hint="eastAsia"/>
                <w:highlight w:val="none"/>
              </w:rPr>
              <w:t>5.2</w:t>
            </w:r>
          </w:p>
        </w:tc>
        <w:tc>
          <w:tcPr>
            <w:tcW w:w="649" w:type="dxa"/>
            <w:vAlign w:val="center"/>
          </w:tcPr>
          <w:p>
            <w:pPr>
              <w:shd w:val="clear" w:color="auto" w:fill="C7DAF1" w:themeFill="text2" w:themeFillTint="32"/>
              <w:rPr>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highlight w:val="none"/>
              </w:rPr>
              <w:t>6.1</w:t>
            </w:r>
          </w:p>
        </w:tc>
        <w:tc>
          <w:tcPr>
            <w:tcW w:w="650" w:type="dxa"/>
            <w:vAlign w:val="center"/>
          </w:tcPr>
          <w:p>
            <w:pPr>
              <w:shd w:val="clear" w:color="auto" w:fill="C7DAF1" w:themeFill="text2" w:themeFillTint="32"/>
              <w:rPr>
                <w:lang w:eastAsia="ja-JP"/>
              </w:rPr>
            </w:pPr>
            <w:r>
              <w:rPr>
                <w:rFonts w:hint="eastAsia"/>
                <w:highlight w:val="none"/>
              </w:rPr>
              <w:t>6.2</w:t>
            </w:r>
          </w:p>
        </w:tc>
        <w:tc>
          <w:tcPr>
            <w:tcW w:w="649" w:type="dxa"/>
            <w:vAlign w:val="center"/>
          </w:tcPr>
          <w:p>
            <w:pPr>
              <w:shd w:val="clear" w:color="auto" w:fill="C7DAF1" w:themeFill="text2" w:themeFillTint="32"/>
              <w:rPr>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49"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49"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49" w:type="dxa"/>
            <w:vAlign w:val="center"/>
          </w:tcPr>
          <w:p>
            <w:pPr>
              <w:shd w:val="clear" w:color="auto" w:fill="C7DAF1" w:themeFill="text2" w:themeFillTint="32"/>
              <w:rPr>
                <w:lang w:eastAsia="ja-JP"/>
              </w:rPr>
            </w:pPr>
            <w:r>
              <w:rPr>
                <w:highlight w:val="none"/>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lang w:eastAsia="ja-JP"/>
              </w:rPr>
            </w:pPr>
            <w:r>
              <w:rPr>
                <w:rFonts w:hint="eastAsia"/>
                <w:highlight w:val="none"/>
              </w:rPr>
              <w:t>7.2</w:t>
            </w:r>
          </w:p>
        </w:tc>
        <w:tc>
          <w:tcPr>
            <w:tcW w:w="650" w:type="dxa"/>
            <w:vAlign w:val="center"/>
          </w:tcPr>
          <w:p>
            <w:pPr>
              <w:shd w:val="clear" w:color="auto" w:fill="C7DAF1" w:themeFill="text2" w:themeFillTint="32"/>
              <w:rPr>
                <w:lang w:eastAsia="ja-JP"/>
              </w:rPr>
            </w:pPr>
            <w:r>
              <w:rPr>
                <w:rFonts w:hint="eastAsia"/>
                <w:highlight w:val="none"/>
              </w:rPr>
              <w:t>7.3</w:t>
            </w:r>
          </w:p>
        </w:tc>
        <w:tc>
          <w:tcPr>
            <w:tcW w:w="649" w:type="dxa"/>
            <w:vAlign w:val="center"/>
          </w:tcPr>
          <w:p>
            <w:pPr>
              <w:shd w:val="clear" w:color="auto" w:fill="C7DAF1" w:themeFill="text2" w:themeFillTint="32"/>
              <w:rPr>
                <w:lang w:eastAsia="ja-JP"/>
              </w:rPr>
            </w:pPr>
            <w:r>
              <w:rPr>
                <w:rFonts w:hint="eastAsia"/>
                <w:highlight w:val="none"/>
              </w:rPr>
              <w:t>7.4</w:t>
            </w:r>
          </w:p>
        </w:tc>
        <w:tc>
          <w:tcPr>
            <w:tcW w:w="650" w:type="dxa"/>
            <w:vAlign w:val="center"/>
          </w:tcPr>
          <w:p>
            <w:pPr>
              <w:shd w:val="clear" w:color="auto" w:fill="C7DAF1" w:themeFill="text2" w:themeFillTint="32"/>
              <w:rPr>
                <w:lang w:eastAsia="ja-JP"/>
              </w:rPr>
            </w:pPr>
            <w:r>
              <w:rPr>
                <w:rFonts w:hint="eastAsia"/>
                <w:highlight w:val="none"/>
              </w:rPr>
              <w:t>7.5</w:t>
            </w:r>
          </w:p>
        </w:tc>
        <w:tc>
          <w:tcPr>
            <w:tcW w:w="650" w:type="dxa"/>
            <w:vAlign w:val="center"/>
          </w:tcPr>
          <w:p>
            <w:pPr>
              <w:shd w:val="clear" w:color="auto" w:fill="C7DAF1" w:themeFill="text2" w:themeFillTint="32"/>
              <w:rPr>
                <w:lang w:eastAsia="ja-JP"/>
              </w:rPr>
            </w:pPr>
            <w:r>
              <w:rPr>
                <w:rFonts w:hint="eastAsia"/>
                <w:highlight w:val="none"/>
              </w:rPr>
              <w:t>8.1</w:t>
            </w:r>
          </w:p>
        </w:tc>
        <w:tc>
          <w:tcPr>
            <w:tcW w:w="649" w:type="dxa"/>
            <w:vAlign w:val="center"/>
          </w:tcPr>
          <w:p>
            <w:pPr>
              <w:shd w:val="clear" w:color="auto" w:fill="C7DAF1" w:themeFill="text2" w:themeFillTint="32"/>
              <w:rPr>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highlight w:val="none"/>
              </w:rPr>
              <w:t>8.3</w:t>
            </w:r>
          </w:p>
        </w:tc>
        <w:tc>
          <w:tcPr>
            <w:tcW w:w="650" w:type="dxa"/>
            <w:vAlign w:val="center"/>
          </w:tcPr>
          <w:p>
            <w:pPr>
              <w:shd w:val="clear" w:color="auto" w:fill="C7DAF1" w:themeFill="text2" w:themeFillTint="32"/>
              <w:rPr>
                <w:lang w:eastAsia="ja-JP"/>
              </w:rPr>
            </w:pPr>
            <w:r>
              <w:rPr>
                <w:rFonts w:hint="eastAsia"/>
                <w:highlight w:val="none"/>
              </w:rPr>
              <w:t>8.4</w:t>
            </w:r>
          </w:p>
        </w:tc>
        <w:tc>
          <w:tcPr>
            <w:tcW w:w="649" w:type="dxa"/>
            <w:vAlign w:val="center"/>
          </w:tcPr>
          <w:p>
            <w:pPr>
              <w:shd w:val="clear" w:color="auto" w:fill="C7DAF1" w:themeFill="text2" w:themeFillTint="32"/>
              <w:rPr>
                <w:lang w:eastAsia="ja-JP"/>
              </w:rPr>
            </w:pPr>
            <w:r>
              <w:rPr>
                <w:rFonts w:hint="eastAsia"/>
                <w:highlight w:val="none"/>
              </w:rPr>
              <w:t>8.5</w:t>
            </w:r>
          </w:p>
        </w:tc>
        <w:tc>
          <w:tcPr>
            <w:tcW w:w="650" w:type="dxa"/>
            <w:vAlign w:val="center"/>
          </w:tcPr>
          <w:p>
            <w:pPr>
              <w:shd w:val="clear" w:color="auto" w:fill="C7DAF1" w:themeFill="text2" w:themeFillTint="32"/>
              <w:rPr>
                <w:lang w:eastAsia="ja-JP"/>
              </w:rPr>
            </w:pPr>
            <w:r>
              <w:rPr>
                <w:rFonts w:hint="eastAsia"/>
                <w:highlight w:val="none"/>
              </w:rPr>
              <w:t>8.6</w:t>
            </w:r>
          </w:p>
        </w:tc>
        <w:tc>
          <w:tcPr>
            <w:tcW w:w="650" w:type="dxa"/>
            <w:vAlign w:val="center"/>
          </w:tcPr>
          <w:p>
            <w:pPr>
              <w:shd w:val="clear" w:color="auto" w:fill="C7DAF1" w:themeFill="text2" w:themeFillTint="32"/>
              <w:rPr>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50"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49"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49"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4</w:t>
            </w:r>
          </w:p>
        </w:tc>
        <w:tc>
          <w:tcPr>
            <w:tcW w:w="650" w:type="dxa"/>
            <w:vAlign w:val="center"/>
          </w:tcPr>
          <w:p>
            <w:pPr>
              <w:shd w:val="clear" w:color="auto" w:fill="C7DAF1" w:themeFill="text2" w:themeFillTint="32"/>
              <w:rPr>
                <w:lang w:eastAsia="ja-JP"/>
              </w:rPr>
            </w:pPr>
            <w:r>
              <w:rPr>
                <w:highlight w:val="none"/>
              </w:rPr>
              <w:t>1</w:t>
            </w:r>
          </w:p>
        </w:tc>
        <w:tc>
          <w:tcPr>
            <w:tcW w:w="649"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9.1</w:t>
            </w:r>
          </w:p>
        </w:tc>
        <w:tc>
          <w:tcPr>
            <w:tcW w:w="650" w:type="dxa"/>
            <w:vAlign w:val="center"/>
          </w:tcPr>
          <w:p>
            <w:pPr>
              <w:shd w:val="clear" w:color="auto" w:fill="C7DAF1" w:themeFill="text2" w:themeFillTint="32"/>
              <w:rPr>
                <w:lang w:eastAsia="ja-JP"/>
              </w:rPr>
            </w:pPr>
            <w:r>
              <w:rPr>
                <w:rFonts w:hint="eastAsia"/>
                <w:highlight w:val="none"/>
              </w:rPr>
              <w:t>9.2</w:t>
            </w:r>
          </w:p>
        </w:tc>
        <w:tc>
          <w:tcPr>
            <w:tcW w:w="650" w:type="dxa"/>
            <w:vAlign w:val="center"/>
          </w:tcPr>
          <w:p>
            <w:pPr>
              <w:shd w:val="clear" w:color="auto" w:fill="C7DAF1" w:themeFill="text2" w:themeFillTint="32"/>
              <w:rPr>
                <w:lang w:eastAsia="ja-JP"/>
              </w:rPr>
            </w:pPr>
            <w:r>
              <w:rPr>
                <w:rFonts w:hint="eastAsia"/>
                <w:highlight w:val="none"/>
              </w:rPr>
              <w:t>9.3</w:t>
            </w:r>
          </w:p>
        </w:tc>
        <w:tc>
          <w:tcPr>
            <w:tcW w:w="649" w:type="dxa"/>
            <w:vAlign w:val="center"/>
          </w:tcPr>
          <w:p>
            <w:pPr>
              <w:shd w:val="clear" w:color="auto" w:fill="C7DAF1" w:themeFill="text2" w:themeFillTint="32"/>
              <w:rPr>
                <w:lang w:eastAsia="ja-JP"/>
              </w:rPr>
            </w:pPr>
            <w:r>
              <w:rPr>
                <w:rFonts w:hint="eastAsia"/>
                <w:highlight w:val="none"/>
              </w:rPr>
              <w:t>10.1</w:t>
            </w:r>
          </w:p>
        </w:tc>
        <w:tc>
          <w:tcPr>
            <w:tcW w:w="650" w:type="dxa"/>
            <w:vAlign w:val="center"/>
          </w:tcPr>
          <w:p>
            <w:pPr>
              <w:shd w:val="clear" w:color="auto" w:fill="C7DAF1" w:themeFill="text2" w:themeFillTint="32"/>
              <w:rPr>
                <w:lang w:eastAsia="ja-JP"/>
              </w:rPr>
            </w:pPr>
            <w:r>
              <w:rPr>
                <w:rFonts w:hint="eastAsia"/>
                <w:highlight w:val="none"/>
              </w:rPr>
              <w:t>10.2</w:t>
            </w:r>
          </w:p>
        </w:tc>
        <w:tc>
          <w:tcPr>
            <w:tcW w:w="650" w:type="dxa"/>
            <w:vAlign w:val="center"/>
          </w:tcPr>
          <w:p>
            <w:pPr>
              <w:shd w:val="clear" w:color="auto" w:fill="C7DAF1" w:themeFill="text2" w:themeFillTint="32"/>
              <w:rPr>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49"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50" w:type="dxa"/>
            <w:vAlign w:val="center"/>
          </w:tcPr>
          <w:p>
            <w:pPr>
              <w:shd w:val="clear" w:color="auto" w:fill="C7DAF1" w:themeFill="text2" w:themeFillTint="32"/>
              <w:rPr>
                <w:lang w:eastAsia="ja-JP"/>
              </w:rPr>
            </w:pPr>
            <w:r>
              <w:rPr>
                <w:highlight w:val="none"/>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452CA"/>
    <w:multiLevelType w:val="singleLevel"/>
    <w:tmpl w:val="E17452CA"/>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zNjhjZjkxMjg2OGJjOTQ0NThhNzBhOGI4YTVmYWYifQ=="/>
  </w:docVars>
  <w:rsids>
    <w:rsidRoot w:val="00000000"/>
    <w:rsid w:val="034B2E38"/>
    <w:rsid w:val="04075F4B"/>
    <w:rsid w:val="1E407A47"/>
    <w:rsid w:val="25156BB8"/>
    <w:rsid w:val="2E62055B"/>
    <w:rsid w:val="309D4424"/>
    <w:rsid w:val="34EF39F5"/>
    <w:rsid w:val="425B2FFF"/>
    <w:rsid w:val="45E07589"/>
    <w:rsid w:val="4BA73ED6"/>
    <w:rsid w:val="51A91155"/>
    <w:rsid w:val="57FB5D50"/>
    <w:rsid w:val="5AC44942"/>
    <w:rsid w:val="5D1E0B87"/>
    <w:rsid w:val="6637314C"/>
    <w:rsid w:val="66F81DD8"/>
    <w:rsid w:val="6E1E5318"/>
    <w:rsid w:val="7A8C48BA"/>
    <w:rsid w:val="7B2728B8"/>
    <w:rsid w:val="7E0E0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18566</Words>
  <Characters>19231</Characters>
  <Lines>150</Lines>
  <Paragraphs>42</Paragraphs>
  <TotalTime>1</TotalTime>
  <ScaleCrop>false</ScaleCrop>
  <LinksUpToDate>false</LinksUpToDate>
  <CharactersWithSpaces>19352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2022-10-24T09:02:06Z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