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北京黎明文仪家具有限公司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0993-2021-2022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0993-2021-2022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北京黎明文仪家具有限公司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帅兵</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ISC-2021-1122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2026-10-10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2022年10月20日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