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河北锂氢新材料科技有限公司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91131181MA0GLPDJ2J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Q:无CNAS标志,E:无CNAS标志,O:无CNAS标志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Q:25,E:25,O:25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河北锂氢新材料科技有限公司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Q：锂电池负极材料的生产和销售</w:t>
            </w:r>
          </w:p>
          <w:p>
            <w:pPr>
              <w:snapToGrid w:val="0"/>
              <w:spacing w:line="0" w:lineRule="atLeast"/>
              <w:jc w:val="left"/>
              <w:rPr>
                <w:sz w:val="22"/>
                <w:szCs w:val="22"/>
              </w:rPr>
            </w:pPr>
            <w:r>
              <w:rPr>
                <w:sz w:val="22"/>
                <w:szCs w:val="22"/>
              </w:rPr>
              <w:t>E：锂电池负极材料的生产和销售所涉及场所的相关环境管理活动</w:t>
            </w:r>
          </w:p>
          <w:p>
            <w:pPr>
              <w:snapToGrid w:val="0"/>
              <w:spacing w:line="0" w:lineRule="atLeast"/>
              <w:jc w:val="left"/>
              <w:rPr>
                <w:sz w:val="22"/>
                <w:szCs w:val="22"/>
              </w:rPr>
            </w:pPr>
            <w:r>
              <w:rPr>
                <w:sz w:val="22"/>
                <w:szCs w:val="22"/>
              </w:rPr>
              <w:t>O：锂电池负极材料的生产和销售所涉及场所的相关职业健康安全管理活动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衡水市冀州区小寨乡大寨村（河北联冠智能环保设备股份有限公司院内）</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衡水市冀州区小寨乡大寨村（河北联冠智能环保设备股份有限公司院内）</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sz w:val="22"/>
                <w:szCs w:val="22"/>
                <w:lang w:val="en-US" w:eastAsia="zh-CN"/>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113665</wp:posOffset>
                  </wp:positionH>
                  <wp:positionV relativeFrom="paragraph">
                    <wp:posOffset>146050</wp:posOffset>
                  </wp:positionV>
                  <wp:extent cx="368935" cy="402590"/>
                  <wp:effectExtent l="0" t="0" r="12065" b="381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5"/>
                          <a:stretch>
                            <a:fillRect/>
                          </a:stretch>
                        </pic:blipFill>
                        <pic:spPr>
                          <a:xfrm>
                            <a:off x="0" y="0"/>
                            <a:ext cx="368935" cy="402590"/>
                          </a:xfrm>
                          <a:prstGeom prst="rect">
                            <a:avLst/>
                          </a:prstGeom>
                          <a:noFill/>
                          <a:ln>
                            <a:noFill/>
                          </a:ln>
                        </pic:spPr>
                      </pic:pic>
                    </a:graphicData>
                  </a:graphic>
                </wp:anchor>
              </w:drawing>
            </w: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eastAsia"/>
                <w:sz w:val="22"/>
                <w:szCs w:val="22"/>
                <w:lang w:val="en-US" w:eastAsia="zh-CN"/>
              </w:rPr>
            </w:pPr>
          </w:p>
          <w:p>
            <w:pPr>
              <w:snapToGrid w:val="0"/>
              <w:spacing w:line="0" w:lineRule="atLeast"/>
              <w:jc w:val="left"/>
              <w:rPr>
                <w:rFonts w:hint="default"/>
                <w:sz w:val="22"/>
                <w:szCs w:val="22"/>
                <w:lang w:val="en-US"/>
              </w:rPr>
            </w:pPr>
            <w:r>
              <w:rPr>
                <w:rFonts w:hint="eastAsia"/>
                <w:sz w:val="22"/>
                <w:szCs w:val="22"/>
                <w:lang w:val="en-US" w:eastAsia="zh-CN"/>
              </w:rPr>
              <w:t>2022.10.17</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rPr>
          <w:lang w:val="en-GB"/>
        </w:rPr>
      </w:pPr>
      <w:bookmarkStart w:id="22" w:name="_GoBack"/>
      <w:bookmarkEnd w:id="22"/>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79CE019E"/>
    <w:rsid w:val="7DD92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tif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808</Words>
  <Characters>1299</Characters>
  <Lines>18</Lines>
  <Paragraphs>5</Paragraphs>
  <TotalTime>5</TotalTime>
  <ScaleCrop>false</ScaleCrop>
  <LinksUpToDate>false</LinksUpToDate>
  <CharactersWithSpaces>1463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2022-10-16T02:32:13Z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