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0550-2020-H-2022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489"/>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EBF1DE" w:themeFill="accent3" w:themeFillTint="32"/>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156" w:type="dxa"/>
            <w:gridSpan w:val="3"/>
            <w:shd w:val="clear" w:color="auto" w:fill="EBF1DE" w:themeFill="accent3" w:themeFillTint="3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浙江伟达粮油有限公司</w:t>
            </w:r>
            <w:bookmarkEnd w:id="1"/>
          </w:p>
        </w:tc>
        <w:tc>
          <w:tcPr>
            <w:tcW w:w="1370" w:type="dxa"/>
            <w:shd w:val="clear" w:color="auto" w:fill="EBF1DE" w:themeFill="accent3" w:themeFillTint="3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shd w:val="clear" w:color="auto" w:fill="EBF1DE" w:themeFill="accent3" w:themeFillTint="32"/>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EBF1DE" w:themeFill="accent3" w:themeFillTint="32"/>
          </w:tcPr>
          <w:p>
            <w:pPr>
              <w:snapToGrid w:val="0"/>
              <w:spacing w:line="0" w:lineRule="atLeast"/>
              <w:jc w:val="center"/>
              <w:rPr>
                <w:sz w:val="22"/>
                <w:szCs w:val="22"/>
              </w:rPr>
            </w:pPr>
            <w:r>
              <w:rPr>
                <w:rFonts w:hint="eastAsia"/>
                <w:sz w:val="22"/>
                <w:szCs w:val="22"/>
                <w:lang w:val="en-GB"/>
              </w:rPr>
              <w:t xml:space="preserve">订单号 </w:t>
            </w:r>
          </w:p>
        </w:tc>
        <w:tc>
          <w:tcPr>
            <w:tcW w:w="5156" w:type="dxa"/>
            <w:gridSpan w:val="3"/>
            <w:shd w:val="clear" w:color="auto" w:fill="EBF1DE" w:themeFill="accent3" w:themeFillTint="32"/>
          </w:tcPr>
          <w:p>
            <w:pPr>
              <w:snapToGrid w:val="0"/>
              <w:spacing w:line="0" w:lineRule="atLeast"/>
              <w:jc w:val="center"/>
              <w:rPr>
                <w:sz w:val="22"/>
                <w:szCs w:val="22"/>
              </w:rPr>
            </w:pPr>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lang w:val="en-GB"/>
              </w:rPr>
              <w:t>证书号</w:t>
            </w:r>
          </w:p>
        </w:tc>
        <w:tc>
          <w:tcPr>
            <w:tcW w:w="1976" w:type="dxa"/>
            <w:shd w:val="clear" w:color="auto" w:fill="EBF1DE" w:themeFill="accent3" w:themeFillTint="32"/>
          </w:tcPr>
          <w:p>
            <w:pPr>
              <w:snapToGrid w:val="0"/>
              <w:spacing w:line="0" w:lineRule="atLeast"/>
              <w:jc w:val="center"/>
              <w:rPr>
                <w:sz w:val="22"/>
                <w:szCs w:val="22"/>
              </w:rPr>
            </w:pPr>
            <w:bookmarkStart w:id="3" w:name="证书编号"/>
            <w:r>
              <w:rPr>
                <w:sz w:val="22"/>
                <w:szCs w:val="22"/>
              </w:rPr>
              <w:t>197HACCP2000014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EBF1DE" w:themeFill="accent3" w:themeFillTint="32"/>
          </w:tcPr>
          <w:p>
            <w:pPr>
              <w:snapToGrid w:val="0"/>
              <w:spacing w:line="0" w:lineRule="atLeast"/>
              <w:jc w:val="center"/>
              <w:rPr>
                <w:sz w:val="22"/>
                <w:szCs w:val="22"/>
              </w:rPr>
            </w:pPr>
            <w:r>
              <w:rPr>
                <w:rFonts w:hint="eastAsia"/>
                <w:sz w:val="22"/>
                <w:szCs w:val="22"/>
                <w:lang w:val="en-GB"/>
              </w:rPr>
              <w:t>组织机构代码</w:t>
            </w:r>
          </w:p>
        </w:tc>
        <w:tc>
          <w:tcPr>
            <w:tcW w:w="5156" w:type="dxa"/>
            <w:gridSpan w:val="3"/>
            <w:shd w:val="clear" w:color="auto" w:fill="EBF1DE" w:themeFill="accent3" w:themeFillTint="32"/>
          </w:tcPr>
          <w:p>
            <w:pPr>
              <w:snapToGrid w:val="0"/>
              <w:spacing w:line="0" w:lineRule="atLeast"/>
              <w:jc w:val="center"/>
              <w:rPr>
                <w:sz w:val="22"/>
                <w:szCs w:val="22"/>
              </w:rPr>
            </w:pPr>
            <w:bookmarkStart w:id="4" w:name="机构代码"/>
            <w:r>
              <w:rPr>
                <w:sz w:val="22"/>
                <w:szCs w:val="22"/>
              </w:rPr>
              <w:t>91330701747738513K</w:t>
            </w:r>
            <w:bookmarkEnd w:id="4"/>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rPr>
              <w:t>是否带CNAS标志</w:t>
            </w:r>
          </w:p>
        </w:tc>
        <w:tc>
          <w:tcPr>
            <w:tcW w:w="1976" w:type="dxa"/>
            <w:shd w:val="clear" w:color="auto" w:fill="EBF1DE" w:themeFill="accent3" w:themeFillTint="32"/>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H:无CNAS标志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EBF1DE" w:themeFill="accent3" w:themeFillTint="32"/>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156" w:type="dxa"/>
            <w:gridSpan w:val="3"/>
            <w:shd w:val="clear" w:color="auto" w:fill="EBF1DE" w:themeFill="accent3" w:themeFillTint="3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w:t>
            </w:r>
            <w:r>
              <w:rPr>
                <w:rFonts w:hint="eastAsia"/>
                <w:sz w:val="22"/>
                <w:szCs w:val="22"/>
                <w:lang w:val="en-US" w:eastAsia="zh-CN"/>
              </w:rPr>
              <w:t>V</w:t>
            </w:r>
            <w:r>
              <w:rPr>
                <w:rFonts w:hint="eastAsia"/>
                <w:sz w:val="22"/>
                <w:szCs w:val="22"/>
              </w:rPr>
              <w:t> 1.0</w:t>
            </w:r>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EBF1DE" w:themeFill="accent3" w:themeFillTint="32"/>
          </w:tcPr>
          <w:p>
            <w:pPr>
              <w:snapToGrid w:val="0"/>
              <w:spacing w:line="0" w:lineRule="atLeast"/>
              <w:jc w:val="center"/>
              <w:rPr>
                <w:sz w:val="22"/>
                <w:szCs w:val="22"/>
              </w:rPr>
            </w:pPr>
            <w:bookmarkStart w:id="13" w:name="体系人数"/>
            <w:r>
              <w:rPr>
                <w:sz w:val="22"/>
                <w:szCs w:val="22"/>
              </w:rPr>
              <w:t>45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napToGrid w:val="0"/>
              <w:spacing w:line="0" w:lineRule="atLeast"/>
              <w:jc w:val="center"/>
              <w:rPr>
                <w:sz w:val="22"/>
                <w:szCs w:val="22"/>
              </w:rPr>
            </w:pPr>
            <w:r>
              <w:rPr>
                <w:rFonts w:hint="eastAsia"/>
                <w:sz w:val="22"/>
                <w:szCs w:val="22"/>
              </w:rPr>
              <w:t>审核类型</w:t>
            </w:r>
          </w:p>
        </w:tc>
        <w:tc>
          <w:tcPr>
            <w:tcW w:w="8502"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napToGrid w:val="0"/>
              <w:spacing w:line="0" w:lineRule="atLeast"/>
              <w:jc w:val="center"/>
              <w:rPr>
                <w:sz w:val="22"/>
                <w:szCs w:val="22"/>
              </w:rPr>
            </w:pPr>
            <w:r>
              <w:rPr>
                <w:rFonts w:hint="eastAsia"/>
                <w:sz w:val="22"/>
                <w:szCs w:val="22"/>
              </w:rPr>
              <w:t>变更内容</w:t>
            </w:r>
          </w:p>
        </w:tc>
        <w:tc>
          <w:tcPr>
            <w:tcW w:w="8502"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napToGrid w:val="0"/>
              <w:spacing w:line="0" w:lineRule="atLeast"/>
              <w:jc w:val="left"/>
              <w:rPr>
                <w:sz w:val="22"/>
                <w:szCs w:val="22"/>
              </w:rPr>
            </w:pPr>
          </w:p>
        </w:tc>
        <w:tc>
          <w:tcPr>
            <w:tcW w:w="3489"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60" w:type="dxa"/>
            <w:shd w:val="clear" w:color="auto" w:fill="EBF1DE" w:themeFill="accent3" w:themeFillTint="32"/>
          </w:tcPr>
          <w:p>
            <w:pPr>
              <w:snapToGrid w:val="0"/>
              <w:spacing w:line="0" w:lineRule="atLeast"/>
              <w:jc w:val="left"/>
              <w:rPr>
                <w:sz w:val="22"/>
                <w:szCs w:val="22"/>
              </w:rPr>
            </w:pPr>
            <w:r>
              <w:rPr>
                <w:rFonts w:hint="eastAsia"/>
                <w:sz w:val="22"/>
                <w:szCs w:val="22"/>
                <w:lang w:val="en-GB"/>
              </w:rPr>
              <w:t>公司名称</w:t>
            </w:r>
          </w:p>
        </w:tc>
        <w:tc>
          <w:tcPr>
            <w:tcW w:w="3489" w:type="dxa"/>
            <w:shd w:val="clear" w:color="auto" w:fill="EBF1DE" w:themeFill="accent3" w:themeFillTint="32"/>
          </w:tcPr>
          <w:p>
            <w:pPr>
              <w:snapToGrid w:val="0"/>
              <w:spacing w:line="0" w:lineRule="atLeast"/>
              <w:jc w:val="left"/>
              <w:rPr>
                <w:sz w:val="22"/>
                <w:szCs w:val="22"/>
                <w:lang w:val="en-GB"/>
              </w:rPr>
            </w:pPr>
            <w:bookmarkStart w:id="18" w:name="组织名称Add1"/>
            <w:r>
              <w:rPr>
                <w:rFonts w:hint="eastAsia"/>
                <w:sz w:val="22"/>
                <w:szCs w:val="22"/>
              </w:rPr>
              <w:t>浙江伟达粮油有限公司</w:t>
            </w:r>
            <w:bookmarkEnd w:id="18"/>
          </w:p>
        </w:tc>
        <w:tc>
          <w:tcPr>
            <w:tcW w:w="5013" w:type="dxa"/>
            <w:gridSpan w:val="4"/>
            <w:vMerge w:val="restart"/>
            <w:shd w:val="clear" w:color="auto" w:fill="EBF1DE" w:themeFill="accent3" w:themeFillTint="32"/>
          </w:tcPr>
          <w:p>
            <w:pPr>
              <w:snapToGrid w:val="0"/>
              <w:spacing w:line="0" w:lineRule="atLeast"/>
              <w:jc w:val="left"/>
              <w:rPr>
                <w:sz w:val="22"/>
                <w:szCs w:val="22"/>
              </w:rPr>
            </w:pPr>
            <w:bookmarkStart w:id="19" w:name="审核范围"/>
            <w:r>
              <w:rPr>
                <w:sz w:val="22"/>
                <w:szCs w:val="22"/>
              </w:rPr>
              <w:t>位于浙江省金华市婺城区秋滨街道琅峰街469号食品车间的速冻面米食品[熟制品(速冻包子、速冻馒头）]的生产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60" w:type="dxa"/>
            <w:shd w:val="clear" w:color="auto" w:fill="EBF1DE" w:themeFill="accent3" w:themeFillTint="32"/>
          </w:tcPr>
          <w:p>
            <w:pPr>
              <w:snapToGrid w:val="0"/>
              <w:spacing w:line="0" w:lineRule="atLeast"/>
              <w:jc w:val="left"/>
              <w:rPr>
                <w:sz w:val="22"/>
                <w:szCs w:val="22"/>
              </w:rPr>
            </w:pPr>
            <w:r>
              <w:rPr>
                <w:rFonts w:hint="eastAsia"/>
                <w:sz w:val="22"/>
                <w:szCs w:val="22"/>
                <w:lang w:val="en-GB"/>
              </w:rPr>
              <w:t>注册地址</w:t>
            </w:r>
          </w:p>
        </w:tc>
        <w:tc>
          <w:tcPr>
            <w:tcW w:w="3489" w:type="dxa"/>
            <w:shd w:val="clear" w:color="auto" w:fill="EBF1DE" w:themeFill="accent3" w:themeFillTint="32"/>
          </w:tcPr>
          <w:p>
            <w:pPr>
              <w:snapToGrid w:val="0"/>
              <w:spacing w:line="0" w:lineRule="atLeast"/>
              <w:jc w:val="left"/>
              <w:rPr>
                <w:sz w:val="22"/>
                <w:szCs w:val="22"/>
              </w:rPr>
            </w:pPr>
            <w:bookmarkStart w:id="20" w:name="注册地址"/>
            <w:r>
              <w:rPr>
                <w:rFonts w:hint="eastAsia"/>
                <w:sz w:val="22"/>
                <w:szCs w:val="22"/>
                <w:lang w:val="en-GB"/>
              </w:rPr>
              <w:t>浙江省金华市婺城区琅峰街469号</w:t>
            </w:r>
            <w:bookmarkEnd w:id="20"/>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60" w:type="dxa"/>
            <w:shd w:val="clear" w:color="auto" w:fill="EBF1DE" w:themeFill="accent3" w:themeFillTint="32"/>
          </w:tcPr>
          <w:p>
            <w:pPr>
              <w:snapToGrid w:val="0"/>
              <w:spacing w:line="0" w:lineRule="atLeast"/>
              <w:jc w:val="left"/>
              <w:rPr>
                <w:sz w:val="22"/>
                <w:szCs w:val="22"/>
                <w:lang w:val="en-GB"/>
              </w:rPr>
            </w:pPr>
            <w:r>
              <w:rPr>
                <w:rFonts w:hint="eastAsia"/>
                <w:sz w:val="22"/>
                <w:szCs w:val="22"/>
                <w:lang w:val="en-GB"/>
              </w:rPr>
              <w:t>经营地址</w:t>
            </w:r>
          </w:p>
        </w:tc>
        <w:tc>
          <w:tcPr>
            <w:tcW w:w="3489" w:type="dxa"/>
            <w:shd w:val="clear" w:color="auto" w:fill="EBF1DE" w:themeFill="accent3" w:themeFillTint="32"/>
          </w:tcPr>
          <w:p>
            <w:pPr>
              <w:snapToGrid w:val="0"/>
              <w:spacing w:line="0" w:lineRule="atLeast"/>
              <w:jc w:val="left"/>
              <w:rPr>
                <w:sz w:val="22"/>
                <w:szCs w:val="22"/>
              </w:rPr>
            </w:pPr>
            <w:r>
              <w:rPr>
                <w:sz w:val="22"/>
                <w:szCs w:val="22"/>
              </w:rPr>
              <w:t>浙江省金华市婺城区秋滨街道琅峰街469号</w:t>
            </w:r>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tcPr>
          <w:p>
            <w:pPr>
              <w:snapToGrid w:val="0"/>
              <w:spacing w:line="0" w:lineRule="atLeast"/>
              <w:jc w:val="left"/>
              <w:rPr>
                <w:sz w:val="22"/>
                <w:szCs w:val="22"/>
              </w:rPr>
            </w:pPr>
          </w:p>
        </w:tc>
        <w:tc>
          <w:tcPr>
            <w:tcW w:w="3489"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60" w:type="dxa"/>
            <w:vMerge w:val="restart"/>
            <w:shd w:val="clear" w:color="auto" w:fill="DBEEF3" w:themeFill="accent5" w:themeFillTint="32"/>
          </w:tcPr>
          <w:p>
            <w:pPr>
              <w:snapToGrid w:val="0"/>
              <w:spacing w:line="0" w:lineRule="atLeast"/>
              <w:jc w:val="left"/>
              <w:rPr>
                <w:sz w:val="22"/>
                <w:szCs w:val="22"/>
              </w:rPr>
            </w:pPr>
            <w:bookmarkStart w:id="21" w:name="_GoBack" w:colFirst="0" w:colLast="3"/>
            <w:r>
              <w:rPr>
                <w:rFonts w:cs="Arial"/>
                <w:b/>
                <w:bCs/>
                <w:sz w:val="22"/>
                <w:szCs w:val="16"/>
              </w:rPr>
              <w:t>Company Name</w:t>
            </w:r>
            <w:r>
              <w:rPr>
                <w:rFonts w:hint="eastAsia"/>
                <w:sz w:val="22"/>
                <w:szCs w:val="22"/>
                <w:lang w:val="en-GB"/>
              </w:rPr>
              <w:t>公司名称</w:t>
            </w:r>
          </w:p>
        </w:tc>
        <w:tc>
          <w:tcPr>
            <w:tcW w:w="3489" w:type="dxa"/>
            <w:vMerge w:val="restart"/>
            <w:shd w:val="clear" w:color="auto" w:fill="DBEEF3" w:themeFill="accent5" w:themeFillTint="32"/>
          </w:tcPr>
          <w:p>
            <w:pPr>
              <w:snapToGrid w:val="0"/>
              <w:spacing w:line="0" w:lineRule="atLeast"/>
              <w:jc w:val="left"/>
              <w:rPr>
                <w:sz w:val="22"/>
                <w:szCs w:val="22"/>
              </w:rPr>
            </w:pPr>
            <w:r>
              <w:rPr>
                <w:rFonts w:hint="eastAsia" w:cs="Arial"/>
                <w:b/>
                <w:bCs/>
                <w:sz w:val="22"/>
                <w:szCs w:val="16"/>
              </w:rPr>
              <w:t>Zhejiang Weida Grain and Oil Co., Ltd</w:t>
            </w:r>
          </w:p>
        </w:tc>
        <w:tc>
          <w:tcPr>
            <w:tcW w:w="1337" w:type="dxa"/>
            <w:shd w:val="clear" w:color="auto" w:fill="DBEEF3" w:themeFill="accent5" w:themeFillTint="32"/>
          </w:tcPr>
          <w:p>
            <w:pPr>
              <w:snapToGrid w:val="0"/>
              <w:spacing w:line="0" w:lineRule="atLeast"/>
              <w:jc w:val="left"/>
              <w:rPr>
                <w:sz w:val="22"/>
                <w:szCs w:val="22"/>
              </w:rPr>
            </w:pPr>
            <w:r>
              <w:rPr>
                <w:rFonts w:hint="eastAsia"/>
                <w:sz w:val="22"/>
                <w:szCs w:val="22"/>
              </w:rPr>
              <w:t>QMS/EcMS</w:t>
            </w:r>
          </w:p>
        </w:tc>
        <w:tc>
          <w:tcPr>
            <w:tcW w:w="3676" w:type="dxa"/>
            <w:gridSpan w:val="3"/>
            <w:shd w:val="clear" w:color="auto" w:fill="DBEEF3" w:themeFill="accent5" w:themeFillTint="32"/>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60" w:type="dxa"/>
            <w:vMerge w:val="continue"/>
            <w:shd w:val="clear" w:color="auto" w:fill="DBEEF3" w:themeFill="accent5" w:themeFillTint="32"/>
          </w:tcPr>
          <w:p>
            <w:pPr>
              <w:snapToGrid w:val="0"/>
              <w:spacing w:line="0" w:lineRule="atLeast"/>
              <w:jc w:val="left"/>
              <w:rPr>
                <w:rFonts w:cs="Arial"/>
                <w:b/>
                <w:bCs/>
                <w:sz w:val="22"/>
                <w:szCs w:val="16"/>
              </w:rPr>
            </w:pPr>
          </w:p>
        </w:tc>
        <w:tc>
          <w:tcPr>
            <w:tcW w:w="3489" w:type="dxa"/>
            <w:vMerge w:val="continue"/>
            <w:shd w:val="clear" w:color="auto" w:fill="DBEEF3" w:themeFill="accent5" w:themeFillTint="32"/>
          </w:tcPr>
          <w:p>
            <w:pPr>
              <w:snapToGrid w:val="0"/>
              <w:spacing w:line="0" w:lineRule="atLeast"/>
              <w:jc w:val="left"/>
              <w:rPr>
                <w:rFonts w:cs="Arial"/>
                <w:b/>
                <w:bCs/>
                <w:sz w:val="22"/>
                <w:szCs w:val="16"/>
              </w:rPr>
            </w:pPr>
          </w:p>
        </w:tc>
        <w:tc>
          <w:tcPr>
            <w:tcW w:w="1337" w:type="dxa"/>
            <w:shd w:val="clear" w:color="auto" w:fill="DBEEF3" w:themeFill="accent5" w:themeFillTint="32"/>
          </w:tcPr>
          <w:p>
            <w:pPr>
              <w:snapToGrid w:val="0"/>
              <w:spacing w:line="0" w:lineRule="atLeast"/>
              <w:jc w:val="left"/>
              <w:rPr>
                <w:sz w:val="22"/>
                <w:szCs w:val="22"/>
              </w:rPr>
            </w:pPr>
            <w:r>
              <w:rPr>
                <w:rFonts w:hint="eastAsia"/>
                <w:sz w:val="22"/>
                <w:szCs w:val="22"/>
              </w:rPr>
              <w:t>EMS</w:t>
            </w:r>
          </w:p>
        </w:tc>
        <w:tc>
          <w:tcPr>
            <w:tcW w:w="3676" w:type="dxa"/>
            <w:gridSpan w:val="3"/>
            <w:shd w:val="clear" w:color="auto" w:fill="DBEEF3" w:themeFill="accent5" w:themeFillTint="32"/>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0" w:type="dxa"/>
            <w:vMerge w:val="restart"/>
            <w:shd w:val="clear" w:color="auto" w:fill="DBEEF3" w:themeFill="accent5" w:themeFillTint="32"/>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489" w:type="dxa"/>
            <w:vMerge w:val="restart"/>
            <w:shd w:val="clear" w:color="auto" w:fill="DBEEF3" w:themeFill="accent5" w:themeFillTint="32"/>
          </w:tcPr>
          <w:p>
            <w:pPr>
              <w:snapToGrid w:val="0"/>
              <w:spacing w:line="0" w:lineRule="atLeast"/>
              <w:jc w:val="left"/>
              <w:rPr>
                <w:sz w:val="22"/>
                <w:szCs w:val="22"/>
              </w:rPr>
            </w:pPr>
            <w:r>
              <w:rPr>
                <w:rFonts w:hint="eastAsia" w:cs="Arial"/>
                <w:b/>
                <w:bCs/>
                <w:sz w:val="22"/>
                <w:szCs w:val="16"/>
              </w:rPr>
              <w:t>No. 469, Langfeng Street, Wucheng District, Jinhua City, Zhejiang Province</w:t>
            </w:r>
          </w:p>
        </w:tc>
        <w:tc>
          <w:tcPr>
            <w:tcW w:w="1337" w:type="dxa"/>
            <w:shd w:val="clear" w:color="auto" w:fill="DBEEF3" w:themeFill="accent5" w:themeFillTint="32"/>
          </w:tcPr>
          <w:p>
            <w:pPr>
              <w:snapToGrid w:val="0"/>
              <w:spacing w:line="0" w:lineRule="atLeast"/>
              <w:jc w:val="left"/>
              <w:rPr>
                <w:sz w:val="22"/>
                <w:szCs w:val="22"/>
              </w:rPr>
            </w:pPr>
            <w:r>
              <w:rPr>
                <w:rFonts w:hint="eastAsia"/>
                <w:sz w:val="22"/>
                <w:szCs w:val="22"/>
              </w:rPr>
              <w:t>OHSMS</w:t>
            </w:r>
          </w:p>
        </w:tc>
        <w:tc>
          <w:tcPr>
            <w:tcW w:w="3676" w:type="dxa"/>
            <w:gridSpan w:val="3"/>
            <w:shd w:val="clear" w:color="auto" w:fill="DBEEF3" w:themeFill="accent5" w:themeFillTint="3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60" w:type="dxa"/>
            <w:vMerge w:val="continue"/>
            <w:shd w:val="clear" w:color="auto" w:fill="DBEEF3" w:themeFill="accent5" w:themeFillTint="32"/>
          </w:tcPr>
          <w:p>
            <w:pPr>
              <w:snapToGrid w:val="0"/>
              <w:spacing w:line="0" w:lineRule="atLeast"/>
              <w:jc w:val="left"/>
              <w:rPr>
                <w:sz w:val="22"/>
                <w:szCs w:val="16"/>
              </w:rPr>
            </w:pPr>
          </w:p>
        </w:tc>
        <w:tc>
          <w:tcPr>
            <w:tcW w:w="3489" w:type="dxa"/>
            <w:vMerge w:val="continue"/>
            <w:shd w:val="clear" w:color="auto" w:fill="DBEEF3" w:themeFill="accent5" w:themeFillTint="32"/>
          </w:tcPr>
          <w:p>
            <w:pPr>
              <w:snapToGrid w:val="0"/>
              <w:spacing w:line="0" w:lineRule="atLeast"/>
              <w:jc w:val="left"/>
              <w:rPr>
                <w:rFonts w:cs="Arial"/>
                <w:b/>
                <w:bCs/>
                <w:sz w:val="22"/>
                <w:szCs w:val="16"/>
              </w:rPr>
            </w:pPr>
          </w:p>
        </w:tc>
        <w:tc>
          <w:tcPr>
            <w:tcW w:w="1337" w:type="dxa"/>
            <w:shd w:val="clear" w:color="auto" w:fill="DBEEF3" w:themeFill="accent5" w:themeFillTint="32"/>
          </w:tcPr>
          <w:p>
            <w:pPr>
              <w:snapToGrid w:val="0"/>
              <w:spacing w:line="0" w:lineRule="atLeast"/>
              <w:jc w:val="left"/>
              <w:rPr>
                <w:sz w:val="22"/>
                <w:szCs w:val="22"/>
              </w:rPr>
            </w:pPr>
            <w:r>
              <w:rPr>
                <w:rFonts w:hint="eastAsia"/>
                <w:sz w:val="22"/>
                <w:szCs w:val="22"/>
              </w:rPr>
              <w:t>EnMS</w:t>
            </w:r>
          </w:p>
        </w:tc>
        <w:tc>
          <w:tcPr>
            <w:tcW w:w="3676" w:type="dxa"/>
            <w:gridSpan w:val="3"/>
            <w:shd w:val="clear" w:color="auto" w:fill="DBEEF3" w:themeFill="accent5" w:themeFillTint="3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60" w:type="dxa"/>
            <w:vMerge w:val="restart"/>
            <w:shd w:val="clear" w:color="auto" w:fill="DBEEF3" w:themeFill="accent5" w:themeFillTint="32"/>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89" w:type="dxa"/>
            <w:vMerge w:val="restart"/>
            <w:shd w:val="clear" w:color="auto" w:fill="DBEEF3" w:themeFill="accent5" w:themeFillTint="32"/>
          </w:tcPr>
          <w:p>
            <w:pPr>
              <w:snapToGrid w:val="0"/>
              <w:spacing w:line="0" w:lineRule="atLeast"/>
              <w:jc w:val="left"/>
              <w:rPr>
                <w:sz w:val="22"/>
                <w:szCs w:val="22"/>
              </w:rPr>
            </w:pPr>
            <w:r>
              <w:rPr>
                <w:rFonts w:hint="eastAsia" w:cs="Arial"/>
                <w:b/>
                <w:bCs/>
                <w:sz w:val="22"/>
                <w:szCs w:val="16"/>
              </w:rPr>
              <w:t>No. 469, Langfeng Street, Qiubin Street, Wucheng District, Jinhua City, Zhejiang Province</w:t>
            </w:r>
          </w:p>
        </w:tc>
        <w:tc>
          <w:tcPr>
            <w:tcW w:w="1337" w:type="dxa"/>
            <w:shd w:val="clear" w:color="auto" w:fill="DBEEF3" w:themeFill="accent5" w:themeFillTint="32"/>
          </w:tcPr>
          <w:p>
            <w:pPr>
              <w:snapToGrid w:val="0"/>
              <w:spacing w:line="0" w:lineRule="atLeast"/>
              <w:jc w:val="left"/>
              <w:rPr>
                <w:sz w:val="22"/>
                <w:szCs w:val="22"/>
              </w:rPr>
            </w:pPr>
            <w:r>
              <w:rPr>
                <w:rFonts w:hint="eastAsia"/>
                <w:sz w:val="22"/>
                <w:szCs w:val="22"/>
              </w:rPr>
              <w:t>FSMS</w:t>
            </w:r>
          </w:p>
        </w:tc>
        <w:tc>
          <w:tcPr>
            <w:tcW w:w="3676" w:type="dxa"/>
            <w:gridSpan w:val="3"/>
            <w:shd w:val="clear" w:color="auto" w:fill="DBEEF3" w:themeFill="accent5" w:themeFillTint="3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0" w:type="dxa"/>
            <w:vMerge w:val="continue"/>
            <w:shd w:val="clear" w:color="auto" w:fill="DBEEF3" w:themeFill="accent5" w:themeFillTint="32"/>
          </w:tcPr>
          <w:p>
            <w:pPr>
              <w:snapToGrid w:val="0"/>
              <w:spacing w:line="0" w:lineRule="atLeast"/>
              <w:jc w:val="left"/>
              <w:rPr>
                <w:rFonts w:cs="Arial"/>
                <w:b/>
                <w:bCs/>
                <w:sz w:val="22"/>
                <w:szCs w:val="16"/>
              </w:rPr>
            </w:pPr>
          </w:p>
        </w:tc>
        <w:tc>
          <w:tcPr>
            <w:tcW w:w="3489" w:type="dxa"/>
            <w:vMerge w:val="continue"/>
            <w:shd w:val="clear" w:color="auto" w:fill="DBEEF3" w:themeFill="accent5" w:themeFillTint="32"/>
          </w:tcPr>
          <w:p>
            <w:pPr>
              <w:snapToGrid w:val="0"/>
              <w:spacing w:line="0" w:lineRule="atLeast"/>
              <w:jc w:val="left"/>
              <w:rPr>
                <w:rFonts w:cs="Arial"/>
                <w:b/>
                <w:bCs/>
                <w:sz w:val="22"/>
                <w:szCs w:val="16"/>
              </w:rPr>
            </w:pPr>
          </w:p>
        </w:tc>
        <w:tc>
          <w:tcPr>
            <w:tcW w:w="1337" w:type="dxa"/>
            <w:shd w:val="clear" w:color="auto" w:fill="DBEEF3" w:themeFill="accent5" w:themeFillTint="32"/>
          </w:tcPr>
          <w:p>
            <w:pPr>
              <w:snapToGrid w:val="0"/>
              <w:spacing w:line="0" w:lineRule="atLeast"/>
              <w:jc w:val="left"/>
              <w:rPr>
                <w:sz w:val="22"/>
                <w:szCs w:val="22"/>
              </w:rPr>
            </w:pPr>
            <w:r>
              <w:rPr>
                <w:rFonts w:hint="eastAsia"/>
                <w:sz w:val="22"/>
                <w:szCs w:val="22"/>
              </w:rPr>
              <w:t>HACCP</w:t>
            </w:r>
          </w:p>
        </w:tc>
        <w:tc>
          <w:tcPr>
            <w:tcW w:w="3676" w:type="dxa"/>
            <w:gridSpan w:val="3"/>
            <w:shd w:val="clear" w:color="auto" w:fill="DBEEF3" w:themeFill="accent5" w:themeFillTint="32"/>
          </w:tcPr>
          <w:p>
            <w:pPr>
              <w:snapToGrid w:val="0"/>
              <w:spacing w:line="0" w:lineRule="atLeast"/>
              <w:jc w:val="left"/>
              <w:rPr>
                <w:sz w:val="22"/>
                <w:szCs w:val="22"/>
              </w:rPr>
            </w:pPr>
            <w:r>
              <w:rPr>
                <w:rFonts w:hint="eastAsia"/>
                <w:sz w:val="22"/>
                <w:szCs w:val="22"/>
              </w:rPr>
              <w:t>The production of quick-frozen noodle rice food [cooked products (quick-frozen buns, quick-frozen steamed buns)] in the food workshop of No. 469, Langfeng Street, Qiubin Street, Wucheng District, Jinhua City, Zhejiang Province</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60" w:type="dxa"/>
          </w:tcPr>
          <w:p>
            <w:pPr>
              <w:snapToGrid w:val="0"/>
              <w:spacing w:line="0" w:lineRule="atLeast"/>
              <w:jc w:val="left"/>
              <w:rPr>
                <w:rFonts w:cs="Arial"/>
                <w:b/>
                <w:bCs/>
                <w:sz w:val="22"/>
                <w:szCs w:val="16"/>
              </w:rPr>
            </w:pPr>
            <w:r>
              <w:rPr>
                <w:rFonts w:hint="eastAsia" w:cs="Arial"/>
                <w:b/>
                <w:bCs/>
                <w:sz w:val="22"/>
                <w:szCs w:val="16"/>
              </w:rPr>
              <w:t>受审核方签章</w:t>
            </w:r>
          </w:p>
        </w:tc>
        <w:tc>
          <w:tcPr>
            <w:tcW w:w="5156"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1590194E"/>
    <w:rsid w:val="6FEA4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6</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2022-10-27T09:01:53Z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