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唐山诺盾船舶技术有限公司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1104-2022-Q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叶飞</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ISC-JSZJ-584</w:t>
            </w:r>
          </w:p>
          <w:p w:rsidR="002D4D32">
            <w:pPr>
              <w:snapToGrid w:val="0"/>
              <w:spacing w:line="320" w:lineRule="exact"/>
              <w:ind w:left="1309"/>
              <w:rPr>
                <w:sz w:val="22"/>
                <w:szCs w:val="22"/>
                <w:highlight w:val="yellow"/>
              </w:rPr>
            </w:pPr>
            <w:r>
              <w:rPr>
                <w:sz w:val="22"/>
                <w:szCs w:val="22"/>
                <w:highlight w:val="yellow"/>
              </w:rPr>
              <w:t>唐山海港汉洋船舶服务有限公司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