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39"/>
        <w:gridCol w:w="6"/>
        <w:gridCol w:w="9259"/>
        <w:gridCol w:w="7"/>
        <w:gridCol w:w="1483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负责人：洪永辉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肖新龙、任泽华实习O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2-11-01下午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cs="Arial"/>
                <w:b w:val="0"/>
                <w:bCs w:val="0"/>
                <w:sz w:val="21"/>
                <w:szCs w:val="21"/>
                <w:highlight w:val="none"/>
              </w:rPr>
              <w:t>Q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/8.2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8.5.5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9.1.2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cs="Arial"/>
                <w:b w:val="0"/>
                <w:bCs w:val="0"/>
                <w:sz w:val="21"/>
                <w:szCs w:val="21"/>
                <w:highlight w:val="none"/>
              </w:rPr>
              <w:t>F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8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.4</w:t>
            </w:r>
          </w:p>
          <w:p>
            <w:pPr>
              <w:spacing w:line="240" w:lineRule="auto"/>
              <w:rPr>
                <w:rFonts w:hint="default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cs="Arial"/>
                <w:b w:val="0"/>
                <w:bCs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6.1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6.1.4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8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.1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5.3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6.1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6.1.4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8</w:t>
            </w:r>
            <w:r>
              <w:rPr>
                <w:b w:val="0"/>
                <w:bCs w:val="0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QEFO5.3</w:t>
            </w: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09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本部门主要负责客户管理、负责客户订单的接收、评审；沟通客户需求，客户满意度调查；销售过程中所涉及的环境因素、危险源的控制、本部门管理目标分解情况的实施、参与应急、撤回召回演练等工作。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部门负责人表示审核周期内部门职责未发生变化，负责人发生了变更。</w:t>
            </w:r>
          </w:p>
        </w:tc>
        <w:tc>
          <w:tcPr>
            <w:tcW w:w="1490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环境因素识别与评价控制程序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89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680"/>
              <w:gridCol w:w="298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szCs w:val="24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消防器材定期检查，进行火灾应急演练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ascii="宋体" w:hAnsi="宋体"/>
                      <w:color w:val="auto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O6.1.2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《危险源识别和控制程序》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51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highlight w:val="none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 w:val="24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严格遵守交通规则，持证上岗，车辆定期保养、应急预案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措施的策划（管理方案）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O6.1.4 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6.1.4</w:t>
            </w:r>
            <w:r>
              <w:rPr>
                <w:rFonts w:hint="eastAsia"/>
                <w:lang w:val="en-US" w:eastAsia="zh-CN"/>
              </w:rPr>
              <w:t>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18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  <w:r>
              <w:rPr>
                <w:rFonts w:hint="eastAsia"/>
                <w:lang w:val="en-US" w:eastAsia="zh-CN"/>
              </w:rPr>
              <w:t>策划情况见办公室审核记录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适用于本部门的策划措施及实施情况为：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358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358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《管理手册》第6章、《风险和机遇控制程序》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对紧急情况做出准备和响应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《应急准备和响应程序》、《应急预案》、应急演练等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《环境/职业健康目标、指标管理方案一览表》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火灾应急演练等见分拣部审核记录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EOF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目标分解及完成情况考核表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目标而建立的各层级目标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各层级目标</w:t>
            </w:r>
            <w:r>
              <w:rPr>
                <w:rFonts w:hint="eastAsia"/>
              </w:rPr>
              <w:t>具体、有针对性、可测量并且可实现。</w:t>
            </w:r>
          </w:p>
          <w:p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的管理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21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本部门管理目标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2022.01-2022.09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顾客满意度≥85%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顾客满意度调查统计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92.5</w:t>
                  </w:r>
                  <w:r>
                    <w:rPr>
                      <w:color w:val="auto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食品安全事故为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固废分类收集合规处理率 100%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分类数/总数×100%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火灾、爆炸事故发生率为 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抽查2021年度目标已实现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99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E8.1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48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8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3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试验废弃物（废液、固废、试剂瓶等）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废墨盒，晒鼓：公司集中统一存放，由办公室统一负责，</w:t>
            </w:r>
            <w:r>
              <w:rPr>
                <w:rFonts w:hint="eastAsia"/>
                <w:u w:val="single"/>
                <w:lang w:val="en-US" w:eastAsia="zh-CN"/>
              </w:rPr>
              <w:t>具体见办公室审核记录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一般生活垃圾：由环卫统一进行管理；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■消防：有灭火器（干粉）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检查主要由办公室负责，具体见办公室审核记录</w:t>
            </w:r>
          </w:p>
        </w:tc>
        <w:tc>
          <w:tcPr>
            <w:tcW w:w="148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0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如：管理手册8.1条款、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48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41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3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72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  <w:r>
              <w:rPr>
                <w:rFonts w:hint="eastAsia"/>
                <w:szCs w:val="21"/>
                <w:lang w:val="en-US" w:eastAsia="zh-CN"/>
              </w:rPr>
              <w:t>见办公室审核记录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</w:t>
            </w:r>
            <w:r>
              <w:rPr>
                <w:rFonts w:hint="eastAsia"/>
                <w:szCs w:val="21"/>
                <w:lang w:val="en-US" w:eastAsia="zh-CN"/>
              </w:rPr>
              <w:t>不涉及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■劳保用品发放：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主要是口罩、手套等普通劳保用品；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——不涉及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■摔倒：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不涉及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■消防：灭火器（干粉）；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主要由办公室负责，见办公室审核记录</w:t>
            </w:r>
          </w:p>
          <w:p>
            <w:pPr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化学伤害：主要是84消毒液、洗手液等，按照规定要求配置，伤害风险很小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48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突发事件准备和响应控制程序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环境方面的应急演练：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具体见分拣部审核记录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9"/>
              <w:gridCol w:w="2493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见分拣部审核记录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投标书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微信、电话、现场访问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顾客满意度调查表、配送企业评价表、投诉处理等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面对面拜访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暂无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不涉及</w:t>
                  </w:r>
                </w:p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食品安全法、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GB2762、GB31650等国家标准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配送及时，保证质量，疫情防控得当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7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产品名称</w:t>
                  </w:r>
                  <w:r>
                    <w:rPr>
                      <w:rFonts w:hint="eastAsia"/>
                      <w:lang w:val="en-US" w:eastAsia="zh-CN"/>
                    </w:rPr>
                    <w:t>及规格、交付及付款方式、产品质量安全性、配送要求、突发食品卫生事件等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鲜活水产品新鲜，冷冻水产品尤其进口类要按照监管要求实施、不得以次充好、配送数量足够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产品的安全性指标符合标准要求、销售服务态度友好、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如GB2762、GB31650等标准、食品安全法等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auto"/>
                <w:highlight w:val="cyan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 xml:space="preserve">《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销售合同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网上也公示中标信息</w:t>
            </w:r>
          </w:p>
          <w:tbl>
            <w:tblPr>
              <w:tblStyle w:val="7"/>
              <w:tblW w:w="87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1528"/>
              <w:gridCol w:w="1492"/>
              <w:gridCol w:w="1070"/>
              <w:gridCol w:w="1211"/>
              <w:gridCol w:w="2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528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492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2022.01.01至2022.12.31</w:t>
                  </w:r>
                </w:p>
              </w:tc>
              <w:tc>
                <w:tcPr>
                  <w:tcW w:w="1528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杭州玫瑰园度假村有限公司酒店分公司</w:t>
                  </w:r>
                </w:p>
              </w:tc>
              <w:tc>
                <w:tcPr>
                  <w:tcW w:w="1492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水产海鲜产品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按照客户订单要求执行，具体见分拣部审核记录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492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492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查看公司网站的产品信息，如产品目录：</w:t>
            </w:r>
          </w:p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 xml:space="preserve">具备提供产品或服务的能力  </w:t>
            </w:r>
            <w:r>
              <w:rPr>
                <w:rFonts w:hint="eastAsia"/>
                <w:strike/>
                <w:dstrike w:val="0"/>
              </w:rPr>
              <w:sym w:font="Wingdings" w:char="00A8"/>
            </w:r>
            <w:r>
              <w:rPr>
                <w:rFonts w:hint="eastAsia"/>
                <w:strike/>
                <w:dstrike w:val="0"/>
              </w:rPr>
              <w:t>不具备提供产品或服务的能力</w:t>
            </w:r>
          </w:p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审核周期内未发生，相关负责人表示按照客户合同要求，客户提前下订单，企业进行备货并送货，经营多年，供方比较稳定，基本满足客户订单需求，未发生变更情况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72"/>
              <w:gridCol w:w="1027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72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27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杭州玫瑰园度假村有限公司酒店分公司</w:t>
                  </w:r>
                </w:p>
              </w:tc>
              <w:tc>
                <w:tcPr>
                  <w:tcW w:w="10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/>
              </w:tc>
              <w:tc>
                <w:tcPr>
                  <w:tcW w:w="1027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4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交付后的活动</w:t>
            </w:r>
          </w:p>
        </w:tc>
        <w:tc>
          <w:tcPr>
            <w:tcW w:w="960" w:type="dxa"/>
            <w:vMerge w:val="restart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highlight w:val="none"/>
              </w:rPr>
              <w:t>8.5.5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O7.4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  <w:highlight w:val="none"/>
                <w:lang w:val="en-US" w:eastAsia="zh-CN"/>
              </w:rPr>
              <w:t>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顾客投诉处理控制程序》</w:t>
            </w:r>
          </w:p>
          <w:p>
            <w:pPr>
              <w:jc w:val="both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469" w:hRule="atLeast"/>
        </w:trPr>
        <w:tc>
          <w:tcPr>
            <w:tcW w:w="21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交付后服务的内容：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技术咨询/培训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安装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调试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维修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回收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最终报废处置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取</w:t>
            </w:r>
            <w:r>
              <w:rPr>
                <w:rFonts w:hint="eastAsia"/>
                <w:color w:val="auto"/>
                <w:highlight w:val="none"/>
              </w:rPr>
              <w:t>交付后的活动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  审核周期内未发生交付后的投诉，现场配送交付时，有问题及时沟通解决，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负责人表示</w:t>
            </w:r>
            <w:r>
              <w:rPr>
                <w:rFonts w:hint="eastAsia" w:eastAsia="宋体"/>
                <w:color w:val="0000FF"/>
                <w:highlight w:val="none"/>
                <w:u w:val="single"/>
                <w:lang w:val="en-US" w:eastAsia="zh-CN"/>
              </w:rPr>
              <w:t>，审核周期内未发生环保投诉、食品质量安全事故，未发生撤回/召回事件。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continue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度监测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92"/>
              <w:gridCol w:w="3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4份，顾客满意度92.5%。满足公司策划的目标要求</w:t>
                  </w:r>
                  <w:bookmarkStart w:id="0" w:name="_GoBack"/>
                  <w:bookmarkEnd w:id="0"/>
                </w:p>
              </w:tc>
              <w:tc>
                <w:tcPr>
                  <w:tcW w:w="351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每批交付时，有问题及时给予解决</w:t>
                  </w:r>
                </w:p>
              </w:tc>
              <w:tc>
                <w:tcPr>
                  <w:tcW w:w="351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9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514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DF75DA8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136339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BA6570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123351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B8566FD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1</TotalTime>
  <ScaleCrop>false</ScaleCrop>
  <LinksUpToDate>false</LinksUpToDate>
  <CharactersWithSpaces>6238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2022-11-03T08:21:32Z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2B3ACEF741164F348EB770A118EF431B</vt:lpwstr>
  </property>
</Properties>
</file>