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杭州网渔农副产品有限公司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val="en-US" w:eastAsia="zh-CN"/>
        </w:rPr>
        <w:t>/提供的服务:</w:t>
      </w:r>
      <w:r>
        <w:rPr>
          <w:rFonts w:hint="eastAsia"/>
          <w:b/>
          <w:i/>
          <w:iCs/>
          <w:sz w:val="36"/>
          <w:szCs w:val="36"/>
          <w:u w:val="single"/>
          <w:lang w:val="en-US" w:eastAsia="zh-CN"/>
        </w:rPr>
        <w:t>冷冻水产品、鲜活水产品的销售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OHSMS/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杭州网渔农副产品有限公司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5715" b="63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deZw9cAAAAI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000000"/>
    <w:rsid w:val="05CF6B3F"/>
    <w:rsid w:val="12ED213D"/>
    <w:rsid w:val="141B68C6"/>
    <w:rsid w:val="406F74A1"/>
    <w:rsid w:val="6B990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2022-11-02T07:24:05Z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BE93B738964C49899FC6636DBEF2ED9A</vt:lpwstr>
  </property>
  <property fmtid="{D5CDD505-2E9C-101B-9397-08002B2CF9AE}" pid="3" name="KSOProductBuildVer">
    <vt:lpwstr>2052-11.1.0.12598</vt:lpwstr>
  </property>
</Properties>
</file>