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四川祥和鸟服饰有限公司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ascii="宋体" w:hAnsi="宋体" w:cs="宋体"/>
                <w:sz w:val="24"/>
              </w:rPr>
              <w:t>日上午至2022年10月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  <w:bookmarkStart w:id="2" w:name="_GoBack"/>
            <w:bookmarkEnd w:id="2"/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■初审    □监督 第（   ）次监督  □再认证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□QMS  □5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□EMS   □OHSMS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EnMS  □FSMS□HACCP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shd w:val="clear" w:color="auto" w:fill="CFCECE" w:themeFill="background2" w:themeFillShade="E5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  <w:tc>
          <w:tcPr>
            <w:tcW w:w="8186" w:type="dxa"/>
            <w:gridSpan w:val="8"/>
            <w:shd w:val="clear" w:color="auto" w:fill="CFCECE" w:themeFill="background2" w:themeFillShade="E5"/>
            <w:vAlign w:val="top"/>
          </w:tcPr>
          <w:p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李丽英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2022.10.21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2A7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2022-10-19T04:23:36Z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