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1119-2022-EnMS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成都格调服饰有限公司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91510105746431755Q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102-2013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成都格调服饰有限公司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7" w:name="审核范围"/>
            <w:r>
              <w:rPr>
                <w:sz w:val="22"/>
                <w:szCs w:val="22"/>
              </w:rPr>
              <w:t>服装（西服、制式服装、衬衫、大衣、西背、西裤）、针纺织品（火车座椅套、火车铺套、布艺类装饰用品）、床上用品的</w:t>
            </w:r>
            <w:bookmarkEnd w:id="17"/>
            <w:r>
              <w:rPr>
                <w:rFonts w:hint="eastAsia"/>
                <w:sz w:val="22"/>
                <w:szCs w:val="22"/>
                <w:lang w:val="en-US" w:eastAsia="zh-CN"/>
              </w:rPr>
              <w:t>生产所涉及的能源管理活动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成都市温江区海峡两岸产业开发园新华大道二段199号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成都市温江区海峡两岸产业开发园新华大道二段199号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Co.Ltd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Development and Manufacturing of  XXXX</w:t>
            </w:r>
            <w:bookmarkStart w:id="23" w:name="_GoBack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268605</wp:posOffset>
                  </wp:positionV>
                  <wp:extent cx="673100" cy="274955"/>
                  <wp:effectExtent l="0" t="0" r="0" b="3810"/>
                  <wp:wrapSquare wrapText="bothSides"/>
                  <wp:docPr id="1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成都格调服饰有限公司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成都市温江区海峡两岸产业开发园新华大道二段199号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102-2013 能源管理体系 纺织企业认证要求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720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2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92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6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边界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成都市温江区海峡两岸产业开发园新华大道二段199号成都格调服饰有限公司服装（西服、制式服装、衬衫、大衣、西背、西裤）、针纺织品（火车座椅套、火车铺套、布艺类装饰用品）、床上用品的生产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生产部：6条生产线及辅助的空调系统、变配电系统、蒸汽锅炉系统等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、业务部、财务部。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131249套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</w:rPr>
              <w:t>产值：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4731.45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</w:rPr>
              <w:t>万元</w:t>
            </w: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213.148 t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ce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产品综合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624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kgce/套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单位产值综合能耗：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45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4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9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kgce/万元</w:t>
            </w: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政府未下达指标。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6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6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2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6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2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92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466627C"/>
    <w:rsid w:val="51835291"/>
    <w:rsid w:val="5A1E1B9F"/>
    <w:rsid w:val="767E7160"/>
    <w:rsid w:val="771A73D0"/>
    <w:rsid w:val="7AAE1942"/>
    <w:rsid w:val="7ACA6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2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2022-10-19T00:21:00Z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