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jc w:val="center"/>
              <w:rPr>
                <w:color w:val="auto"/>
                <w:sz w:val="24"/>
                <w:szCs w:val="24"/>
              </w:rPr>
            </w:pPr>
            <w:r>
              <w:rPr>
                <w:rFonts w:hint="eastAsia"/>
                <w:color w:val="auto"/>
                <w:sz w:val="24"/>
                <w:szCs w:val="24"/>
              </w:rPr>
              <w:t>涉及</w:t>
            </w:r>
          </w:p>
          <w:p>
            <w:pPr>
              <w:jc w:val="center"/>
              <w:rPr>
                <w:color w:val="auto"/>
              </w:rPr>
            </w:pPr>
            <w:r>
              <w:rPr>
                <w:rFonts w:hint="eastAsia"/>
                <w:color w:val="auto"/>
                <w:sz w:val="24"/>
                <w:szCs w:val="24"/>
              </w:rPr>
              <w:t>条款</w:t>
            </w:r>
          </w:p>
        </w:tc>
        <w:tc>
          <w:tcPr>
            <w:tcW w:w="10376" w:type="dxa"/>
            <w:vAlign w:val="center"/>
          </w:tcPr>
          <w:p>
            <w:pP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受审核部门：管理层    </w:t>
            </w:r>
            <w:r>
              <w:rPr>
                <w:rFonts w:hint="eastAsia"/>
                <w:color w:val="auto"/>
                <w:szCs w:val="21"/>
              </w:rPr>
              <w:t xml:space="preserve"> 总经理：</w:t>
            </w:r>
            <w:r>
              <w:rPr>
                <w:rFonts w:hint="eastAsia"/>
                <w:color w:val="auto"/>
                <w:szCs w:val="21"/>
                <w:lang w:eastAsia="zh-CN"/>
              </w:rPr>
              <w:t>尹建</w:t>
            </w:r>
            <w:r>
              <w:rPr>
                <w:rFonts w:hint="eastAsia"/>
                <w:color w:val="auto"/>
                <w:szCs w:val="21"/>
              </w:rPr>
              <w:t xml:space="preserve">      陪同人员：</w:t>
            </w:r>
            <w:r>
              <w:rPr>
                <w:rFonts w:hint="eastAsia"/>
                <w:color w:val="auto"/>
                <w:szCs w:val="21"/>
                <w:lang w:val="en-US" w:eastAsia="zh-CN"/>
              </w:rPr>
              <w:t>魏凤麟</w:t>
            </w:r>
          </w:p>
        </w:tc>
        <w:tc>
          <w:tcPr>
            <w:tcW w:w="1213" w:type="dxa"/>
            <w:vMerge w:val="restart"/>
            <w:vAlign w:val="center"/>
          </w:tcPr>
          <w:p>
            <w:pPr>
              <w:jc w:val="cente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审核员：王宁敏 （远程微信群、电话、视频等）审核时间：2022-</w:t>
            </w:r>
            <w:r>
              <w:rPr>
                <w:rFonts w:hint="eastAsia" w:ascii="宋体" w:hAnsi="宋体" w:cs="Times New Roman"/>
                <w:color w:val="auto"/>
                <w:sz w:val="21"/>
                <w:szCs w:val="21"/>
                <w:lang w:val="en-US" w:eastAsia="zh-CN"/>
              </w:rPr>
              <w:t>10</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18</w:t>
            </w:r>
            <w:r>
              <w:rPr>
                <w:rFonts w:hint="eastAsia" w:ascii="宋体" w:hAnsi="宋体" w:eastAsia="宋体" w:cs="Times New Roman"/>
                <w:color w:val="auto"/>
                <w:sz w:val="21"/>
                <w:szCs w:val="21"/>
                <w:lang w:val="en-US" w:eastAsia="zh-CN"/>
              </w:rPr>
              <w:t xml:space="preserve">  9:00-12:00</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审核条款： 4.1 理解组织及其所处的环境、4.2理解相关方的需求和期望、4.3 确定能源管理体系的范围、4.4 能源管理体系、5.1 领导作用和承诺、5.2 能源方针、5.3 组织的岗位、职责和权限、6.1 应对风险和机遇的措施、7.1 资源、9.3 管理评审、10.2 持续改进。标准/规范/法规的执行情况、上次审核不符合项的验证、认证证书、标志的使用情况、投诉或事故、监督抽查情况、体系变动。EnMS：4.1/ 4.2 /4.3 /4.4 /5.1/5.2 /5.3/ 6.1/ 7.1/9.3 /10.2</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color w:val="auto"/>
              </w:rPr>
            </w:pPr>
            <w:r>
              <w:rPr>
                <w:rFonts w:hint="eastAsia" w:ascii="Times New Roman" w:hAnsi="Times New Roman" w:cs="Times New Roman"/>
                <w:color w:val="auto"/>
                <w:szCs w:val="22"/>
                <w:lang w:val="en-US" w:eastAsia="zh-CN"/>
              </w:rPr>
              <w:t>了解公司基本情况</w:t>
            </w:r>
          </w:p>
        </w:tc>
        <w:tc>
          <w:tcPr>
            <w:tcW w:w="960" w:type="dxa"/>
          </w:tcPr>
          <w:p>
            <w:pPr>
              <w:rPr>
                <w:color w:val="auto"/>
              </w:rPr>
            </w:pPr>
          </w:p>
        </w:tc>
        <w:tc>
          <w:tcPr>
            <w:tcW w:w="10376" w:type="dxa"/>
          </w:tcPr>
          <w:p>
            <w:pPr>
              <w:ind w:firstLine="420" w:firstLineChars="200"/>
              <w:rPr>
                <w:rFonts w:hint="eastAsia"/>
                <w:color w:val="auto"/>
                <w:lang w:val="en-US" w:eastAsia="zh-CN"/>
              </w:rPr>
            </w:pPr>
            <w:r>
              <w:rPr>
                <w:rFonts w:hint="eastAsia"/>
                <w:color w:val="auto"/>
                <w:lang w:val="en-US" w:eastAsia="zh-CN"/>
              </w:rPr>
              <w:t>成都格调服饰有限公司，坐落于成都市温江区海峡两岸产业开发园新华大道二段199号，是集开发、设计、生产、销售为一体的服装定制企业。自2003年成立以来，历经19年的沉淀，格调服饰发展成为现有员工157名、厂房面积达7000多平米的大型服装企业。公司相继开通天猫、京东高级定制旗舰店，实现线上线下互补的经营模式，年产服装十几万套，连续多年进入四川服装销售百强行列。</w:t>
            </w:r>
          </w:p>
          <w:p>
            <w:pPr>
              <w:ind w:firstLine="420" w:firstLineChars="200"/>
              <w:rPr>
                <w:rFonts w:hint="default"/>
                <w:color w:val="auto"/>
                <w:lang w:val="en-US" w:eastAsia="zh-CN"/>
              </w:rPr>
            </w:pPr>
            <w:r>
              <w:rPr>
                <w:rFonts w:hint="eastAsia"/>
                <w:color w:val="auto"/>
                <w:lang w:val="en-US" w:eastAsia="zh-CN"/>
              </w:rPr>
              <w:t>法人：尹建，总经理：尹建。公司属性：其他有限责任公司。</w:t>
            </w:r>
          </w:p>
          <w:p>
            <w:pPr>
              <w:ind w:firstLine="420" w:firstLineChars="200"/>
              <w:rPr>
                <w:rFonts w:hint="eastAsia"/>
                <w:color w:val="auto"/>
                <w:lang w:val="en-US" w:eastAsia="zh-CN"/>
              </w:rPr>
            </w:pPr>
            <w:r>
              <w:rPr>
                <w:rFonts w:hint="eastAsia"/>
                <w:color w:val="auto"/>
                <w:lang w:val="en-US" w:eastAsia="zh-CN"/>
              </w:rPr>
              <w:t>营业执照注册地址：成都市温江区海峡两岸产业开发园新华大道二段199号。</w:t>
            </w:r>
          </w:p>
          <w:p>
            <w:pPr>
              <w:ind w:firstLine="420" w:firstLineChars="200"/>
              <w:rPr>
                <w:rFonts w:hint="eastAsia"/>
                <w:color w:val="auto"/>
                <w:lang w:val="en-US" w:eastAsia="zh-CN"/>
              </w:rPr>
            </w:pPr>
            <w:r>
              <w:rPr>
                <w:rFonts w:hint="eastAsia"/>
                <w:color w:val="auto"/>
                <w:lang w:val="en-US" w:eastAsia="zh-CN"/>
              </w:rPr>
              <w:t>经营地址：成都市温江区海峡两岸产业开发园新华大道二段199号，与生产或服务现场一致。</w:t>
            </w:r>
          </w:p>
          <w:p>
            <w:pPr>
              <w:ind w:firstLine="400" w:firstLineChars="200"/>
              <w:rPr>
                <w:rFonts w:hint="eastAsia"/>
                <w:color w:val="auto"/>
                <w:lang w:val="en-US" w:eastAsia="zh-CN"/>
              </w:rPr>
            </w:pPr>
            <w:r>
              <w:rPr>
                <w:rFonts w:hint="eastAsia"/>
                <w:color w:val="auto"/>
                <w:sz w:val="20"/>
              </w:rPr>
              <w:t>公司</w:t>
            </w:r>
            <w:r>
              <w:rPr>
                <w:rFonts w:hint="eastAsia"/>
                <w:color w:val="auto"/>
                <w:szCs w:val="21"/>
              </w:rPr>
              <w:t>总人数</w:t>
            </w:r>
            <w:r>
              <w:rPr>
                <w:rFonts w:hint="eastAsia"/>
                <w:color w:val="auto"/>
                <w:szCs w:val="21"/>
                <w:lang w:val="en-US" w:eastAsia="zh-CN"/>
              </w:rPr>
              <w:t>157</w:t>
            </w:r>
            <w:r>
              <w:rPr>
                <w:rFonts w:hint="eastAsia"/>
                <w:color w:val="auto"/>
                <w:szCs w:val="21"/>
              </w:rPr>
              <w:t>人，</w:t>
            </w:r>
            <w:r>
              <w:rPr>
                <w:rFonts w:hint="eastAsia"/>
                <w:color w:val="auto"/>
                <w:lang w:val="en-US" w:eastAsia="zh-CN"/>
              </w:rPr>
              <w:t>能源管理体系覆盖的人数总计 60 人</w:t>
            </w:r>
            <w:r>
              <w:rPr>
                <w:rFonts w:hint="eastAsia"/>
                <w:color w:val="auto"/>
                <w:szCs w:val="22"/>
                <w:lang w:val="en-US" w:eastAsia="zh-CN"/>
              </w:rPr>
              <w:t>。</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tcPr>
          <w:p>
            <w:pPr>
              <w:rPr>
                <w:rFonts w:hint="eastAsia" w:ascii="宋体" w:hAnsi="宋体" w:cs="Times New Roman"/>
                <w:color w:val="auto"/>
                <w:sz w:val="21"/>
                <w:szCs w:val="21"/>
                <w:lang w:val="en-US" w:eastAsia="zh-CN"/>
              </w:rPr>
            </w:pPr>
            <w:r>
              <w:rPr>
                <w:rFonts w:hint="eastAsia" w:ascii="宋体" w:hAnsi="宋体" w:eastAsia="宋体" w:cs="Times New Roman"/>
                <w:color w:val="auto"/>
                <w:sz w:val="21"/>
                <w:szCs w:val="21"/>
                <w:lang w:val="en-US" w:eastAsia="zh-CN"/>
              </w:rPr>
              <w:t>理解组织及其所处的环境</w:t>
            </w:r>
            <w:r>
              <w:rPr>
                <w:rFonts w:hint="eastAsia" w:ascii="宋体" w:hAnsi="宋体" w:cs="Times New Roman"/>
                <w:color w:val="auto"/>
                <w:sz w:val="21"/>
                <w:szCs w:val="21"/>
                <w:lang w:val="en-US" w:eastAsia="zh-CN"/>
              </w:rPr>
              <w:t>，</w:t>
            </w:r>
          </w:p>
          <w:p>
            <w:pPr>
              <w:rPr>
                <w:rFonts w:hint="default"/>
                <w:color w:val="auto"/>
                <w:lang w:val="en-US"/>
              </w:rPr>
            </w:pPr>
            <w:r>
              <w:rPr>
                <w:rFonts w:hint="eastAsia" w:ascii="宋体" w:hAnsi="宋体" w:eastAsia="宋体" w:cs="Times New Roman"/>
                <w:color w:val="auto"/>
                <w:sz w:val="21"/>
                <w:szCs w:val="21"/>
                <w:lang w:val="en-US" w:eastAsia="zh-CN"/>
              </w:rPr>
              <w:t>理解相关方的需求和期望</w:t>
            </w:r>
          </w:p>
        </w:tc>
        <w:tc>
          <w:tcPr>
            <w:tcW w:w="960" w:type="dxa"/>
          </w:tcPr>
          <w:p>
            <w:pPr>
              <w:rPr>
                <w:rFonts w:hint="default"/>
                <w:color w:val="auto"/>
                <w:lang w:val="en-US"/>
              </w:rPr>
            </w:pP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/4.2</w:t>
            </w:r>
          </w:p>
        </w:tc>
        <w:tc>
          <w:tcPr>
            <w:tcW w:w="10376" w:type="dxa"/>
          </w:tcPr>
          <w:p>
            <w:pPr>
              <w:ind w:firstLine="420" w:firstLineChars="200"/>
              <w:jc w:val="left"/>
              <w:rPr>
                <w:rFonts w:hint="default"/>
                <w:color w:val="auto"/>
                <w:lang w:val="en-US" w:eastAsia="zh-CN"/>
              </w:rPr>
            </w:pPr>
            <w:r>
              <w:rPr>
                <w:rFonts w:hint="default"/>
                <w:color w:val="auto"/>
                <w:lang w:val="en-US" w:eastAsia="zh-CN"/>
              </w:rPr>
              <w:t>公司领导层结合公司的实际情况，充分识别外部、内部环境，以策划公司的能源管理活动，建立管理体系，改进能源绩效，以达到预期的目的。</w:t>
            </w:r>
          </w:p>
          <w:p>
            <w:pPr>
              <w:ind w:firstLine="420" w:firstLineChars="200"/>
              <w:jc w:val="left"/>
              <w:rPr>
                <w:rFonts w:hint="default"/>
                <w:color w:val="auto"/>
                <w:lang w:val="en-US" w:eastAsia="zh-CN"/>
              </w:rPr>
            </w:pPr>
            <w:r>
              <w:rPr>
                <w:rFonts w:hint="default"/>
                <w:color w:val="auto"/>
                <w:lang w:val="en-US" w:eastAsia="zh-CN"/>
              </w:rPr>
              <w:t>公司确定《CDGD/EnMS-CX-01-2021组织环境与相关方要求控制程序》，与其宗旨有关的外部和内部问题，这些问题影响其实现其能源管理预期结果和改进其能源性能的能力。公司领导层在了解和识别内外部因素时，应充分考虑企业活动、产品和服务提供过程中发生相互作用的因素。公司领导层应采用适宜的方法，如定期召开经营管理会议，对这些内部和外部因素的中高风险进行监视和评审，确保充分识别、消除，降低或减缓风险，充分利用可能的发展机遇，保证实现企业效益及能源管理体系预期结果。</w:t>
            </w:r>
          </w:p>
          <w:p>
            <w:pPr>
              <w:ind w:firstLine="420" w:firstLineChars="200"/>
              <w:jc w:val="left"/>
              <w:rPr>
                <w:rFonts w:hint="eastAsia"/>
                <w:color w:val="auto"/>
                <w:lang w:val="en-US" w:eastAsia="zh-CN"/>
              </w:rPr>
            </w:pPr>
            <w:r>
              <w:rPr>
                <w:rFonts w:hint="eastAsia"/>
                <w:color w:val="auto"/>
                <w:lang w:val="en-US" w:eastAsia="zh-CN"/>
              </w:rPr>
              <w:t>提供《外部和内部环境因素确定表》：</w:t>
            </w:r>
          </w:p>
          <w:p>
            <w:pPr>
              <w:jc w:val="center"/>
              <w:rPr>
                <w:rFonts w:hint="eastAsia"/>
                <w:color w:val="auto"/>
                <w:lang w:val="en-US" w:eastAsia="zh-CN"/>
              </w:rPr>
            </w:pPr>
            <w:r>
              <w:rPr>
                <w:color w:val="auto"/>
              </w:rPr>
              <w:drawing>
                <wp:inline distT="0" distB="0" distL="114300" distR="114300">
                  <wp:extent cx="3474085" cy="230949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474085" cy="2309495"/>
                          </a:xfrm>
                          <a:prstGeom prst="rect">
                            <a:avLst/>
                          </a:prstGeom>
                          <a:noFill/>
                          <a:ln>
                            <a:noFill/>
                          </a:ln>
                        </pic:spPr>
                      </pic:pic>
                    </a:graphicData>
                  </a:graphic>
                </wp:inline>
              </w:drawing>
            </w:r>
          </w:p>
          <w:p>
            <w:pPr>
              <w:ind w:firstLine="420" w:firstLineChars="200"/>
              <w:jc w:val="left"/>
              <w:rPr>
                <w:rFonts w:hint="default"/>
                <w:color w:val="auto"/>
                <w:lang w:val="en-US" w:eastAsia="zh-CN"/>
              </w:rPr>
            </w:pPr>
            <w:r>
              <w:rPr>
                <w:rFonts w:hint="eastAsia"/>
                <w:color w:val="auto"/>
                <w:lang w:val="en-US" w:eastAsia="zh-CN"/>
              </w:rPr>
              <w:t>提供《相关方的需求和期望清单》：</w:t>
            </w:r>
          </w:p>
          <w:p>
            <w:pPr>
              <w:jc w:val="center"/>
              <w:rPr>
                <w:rFonts w:hint="eastAsia"/>
                <w:color w:val="auto"/>
                <w:lang w:val="en-US" w:eastAsia="zh-CN"/>
              </w:rPr>
            </w:pPr>
            <w:r>
              <w:rPr>
                <w:color w:val="auto"/>
              </w:rPr>
              <w:drawing>
                <wp:inline distT="0" distB="0" distL="114300" distR="114300">
                  <wp:extent cx="3445510" cy="2082800"/>
                  <wp:effectExtent l="0" t="0" r="635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445510" cy="2082800"/>
                          </a:xfrm>
                          <a:prstGeom prst="rect">
                            <a:avLst/>
                          </a:prstGeom>
                          <a:noFill/>
                          <a:ln>
                            <a:noFill/>
                          </a:ln>
                        </pic:spPr>
                      </pic:pic>
                    </a:graphicData>
                  </a:graphic>
                </wp:inline>
              </w:drawing>
            </w:r>
          </w:p>
          <w:p>
            <w:pPr>
              <w:ind w:firstLine="420" w:firstLineChars="200"/>
              <w:jc w:val="left"/>
              <w:rPr>
                <w:rFonts w:hint="eastAsia" w:eastAsia="宋体"/>
                <w:color w:val="auto"/>
                <w:lang w:val="en-US" w:eastAsia="zh-CN"/>
              </w:rPr>
            </w:pPr>
            <w:r>
              <w:rPr>
                <w:rFonts w:hint="eastAsia"/>
                <w:color w:val="auto"/>
                <w:lang w:val="en-US" w:eastAsia="zh-CN"/>
              </w:rPr>
              <w:t>公司每年都对相关方客及其要求评审一次，发生变化时，采取措施应对</w:t>
            </w:r>
            <w:r>
              <w:rPr>
                <w:rFonts w:hint="eastAsia"/>
                <w:color w:val="auto"/>
                <w:kern w:val="0"/>
                <w:szCs w:val="21"/>
                <w:lang w:val="en-US" w:eastAsia="zh-CN"/>
              </w:rPr>
              <w:t>等。</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60" w:type="dxa"/>
            <w:vAlign w:val="top"/>
          </w:tcPr>
          <w:p>
            <w:pPr>
              <w:rPr>
                <w:rFonts w:hint="default" w:ascii="Times New Roman" w:hAnsi="Times New Roman" w:eastAsia="宋体" w:cs="Times New Roman"/>
                <w:color w:val="auto"/>
                <w:kern w:val="2"/>
                <w:sz w:val="21"/>
                <w:lang w:val="en-US" w:eastAsia="zh-CN" w:bidi="ar-SA"/>
              </w:rPr>
            </w:pPr>
            <w:r>
              <w:rPr>
                <w:rFonts w:hint="eastAsia" w:ascii="宋体" w:hAnsi="宋体" w:eastAsia="宋体" w:cs="Times New Roman"/>
                <w:color w:val="auto"/>
                <w:sz w:val="21"/>
                <w:szCs w:val="21"/>
                <w:lang w:val="en-US" w:eastAsia="zh-CN"/>
              </w:rPr>
              <w:t>确定能源管理体系的范围</w:t>
            </w:r>
            <w:r>
              <w:rPr>
                <w:rFonts w:hint="eastAsia" w:ascii="宋体" w:hAnsi="宋体" w:cs="Times New Roman"/>
                <w:color w:val="auto"/>
                <w:sz w:val="21"/>
                <w:szCs w:val="21"/>
                <w:lang w:val="en-US" w:eastAsia="zh-CN"/>
              </w:rPr>
              <w:t>是否变化</w:t>
            </w:r>
          </w:p>
        </w:tc>
        <w:tc>
          <w:tcPr>
            <w:tcW w:w="960" w:type="dxa"/>
          </w:tcPr>
          <w:p>
            <w:pPr>
              <w:rPr>
                <w:rFonts w:hint="eastAsia" w:eastAsia="宋体"/>
                <w:color w:val="auto"/>
                <w:lang w:eastAsia="zh-CN"/>
              </w:rPr>
            </w:pP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w:t>
            </w:r>
            <w:r>
              <w:rPr>
                <w:rFonts w:hint="eastAsia" w:ascii="宋体" w:hAnsi="宋体" w:cs="Times New Roman"/>
                <w:color w:val="auto"/>
                <w:sz w:val="21"/>
                <w:szCs w:val="21"/>
                <w:lang w:val="en-US" w:eastAsia="zh-CN"/>
              </w:rPr>
              <w:t>3</w:t>
            </w:r>
          </w:p>
        </w:tc>
        <w:tc>
          <w:tcPr>
            <w:tcW w:w="10376" w:type="dxa"/>
          </w:tcPr>
          <w:p>
            <w:pPr>
              <w:ind w:firstLine="420" w:firstLineChars="200"/>
              <w:rPr>
                <w:rFonts w:hint="eastAsia"/>
                <w:color w:val="auto"/>
                <w:lang w:val="en-US" w:eastAsia="zh-CN"/>
              </w:rPr>
            </w:pPr>
            <w:r>
              <w:rPr>
                <w:rFonts w:hint="eastAsia"/>
                <w:color w:val="auto"/>
                <w:lang w:val="en-US" w:eastAsia="zh-CN"/>
              </w:rPr>
              <w:t>公司能源管理体系的边界和范围</w:t>
            </w:r>
            <w:r>
              <w:rPr>
                <w:rFonts w:hint="eastAsia"/>
                <w:color w:val="auto"/>
                <w:szCs w:val="22"/>
                <w:lang w:val="en-US" w:eastAsia="zh-CN"/>
              </w:rPr>
              <w:t>。</w:t>
            </w:r>
          </w:p>
          <w:p>
            <w:pPr>
              <w:ind w:firstLine="420" w:firstLineChars="200"/>
              <w:rPr>
                <w:rFonts w:hint="eastAsia"/>
                <w:color w:val="auto"/>
                <w:lang w:val="en-US" w:eastAsia="zh-CN"/>
              </w:rPr>
            </w:pPr>
            <w:r>
              <w:rPr>
                <w:rFonts w:hint="eastAsia"/>
                <w:color w:val="auto"/>
                <w:lang w:val="en-US" w:eastAsia="zh-CN"/>
              </w:rPr>
              <w:t>公司能源管理体系的范围为：位于</w:t>
            </w:r>
            <w:bookmarkStart w:id="0" w:name="注册地址"/>
            <w:r>
              <w:rPr>
                <w:rFonts w:asciiTheme="minorEastAsia" w:hAnsiTheme="minorEastAsia" w:eastAsiaTheme="minorEastAsia"/>
                <w:color w:val="auto"/>
                <w:sz w:val="20"/>
              </w:rPr>
              <w:t>成都市温江区海峡两岸产业开发园新华大道二段199号</w:t>
            </w:r>
            <w:bookmarkEnd w:id="0"/>
            <w:r>
              <w:rPr>
                <w:rFonts w:hint="eastAsia"/>
                <w:color w:val="auto"/>
                <w:lang w:val="en-US" w:eastAsia="zh-CN"/>
              </w:rPr>
              <w:t>的</w:t>
            </w:r>
            <w:bookmarkStart w:id="1" w:name="组织名称"/>
            <w:r>
              <w:rPr>
                <w:color w:val="auto"/>
                <w:sz w:val="21"/>
                <w:szCs w:val="21"/>
              </w:rPr>
              <w:t>成都格调服饰有限公司</w:t>
            </w:r>
            <w:bookmarkEnd w:id="1"/>
            <w:r>
              <w:rPr>
                <w:rFonts w:hint="eastAsia"/>
                <w:color w:val="auto"/>
                <w:lang w:val="en-US" w:eastAsia="zh-CN"/>
              </w:rPr>
              <w:t>的：</w:t>
            </w:r>
            <w:bookmarkStart w:id="2" w:name="审核范围"/>
            <w:r>
              <w:rPr>
                <w:color w:val="auto"/>
                <w:sz w:val="20"/>
              </w:rPr>
              <w:t>服装（西服、制式服装、衬衫、大衣、西背、西裤）、针纺织品（火车座椅套、火车铺套、布艺类装饰用品）、床上用品的</w:t>
            </w:r>
            <w:bookmarkEnd w:id="2"/>
            <w:r>
              <w:rPr>
                <w:rFonts w:hint="eastAsia"/>
                <w:color w:val="auto"/>
                <w:sz w:val="20"/>
                <w:lang w:val="en-US" w:eastAsia="zh-CN"/>
              </w:rPr>
              <w:t>生产所涉及的能源管理活动</w:t>
            </w:r>
            <w:r>
              <w:rPr>
                <w:rFonts w:hint="eastAsia"/>
                <w:color w:val="auto"/>
                <w:lang w:val="en-US" w:eastAsia="zh-CN"/>
              </w:rPr>
              <w:t>。</w:t>
            </w:r>
          </w:p>
          <w:p>
            <w:pPr>
              <w:ind w:firstLine="420" w:firstLineChars="200"/>
              <w:rPr>
                <w:rFonts w:hint="default" w:eastAsia="宋体"/>
                <w:color w:val="auto"/>
                <w:lang w:val="en-US" w:eastAsia="zh-CN"/>
              </w:rPr>
            </w:pPr>
            <w:r>
              <w:rPr>
                <w:rFonts w:hint="eastAsia"/>
                <w:color w:val="auto"/>
                <w:lang w:val="en-US" w:eastAsia="zh-CN"/>
              </w:rPr>
              <w:t>核算边界：位于</w:t>
            </w:r>
            <w:r>
              <w:rPr>
                <w:rFonts w:asciiTheme="minorEastAsia" w:hAnsiTheme="minorEastAsia" w:eastAsiaTheme="minorEastAsia"/>
                <w:color w:val="auto"/>
                <w:sz w:val="20"/>
              </w:rPr>
              <w:t>成都市温江区海峡两岸产业开发园新华大道二段199号</w:t>
            </w:r>
            <w:r>
              <w:rPr>
                <w:rFonts w:hint="eastAsia"/>
                <w:color w:val="auto"/>
                <w:lang w:val="en-US" w:eastAsia="zh-CN"/>
              </w:rPr>
              <w:t>的</w:t>
            </w:r>
            <w:r>
              <w:rPr>
                <w:color w:val="auto"/>
                <w:sz w:val="21"/>
                <w:szCs w:val="21"/>
              </w:rPr>
              <w:t>成都格调服饰有限公司</w:t>
            </w:r>
            <w:r>
              <w:rPr>
                <w:rFonts w:hint="eastAsia"/>
                <w:color w:val="auto"/>
                <w:lang w:val="en-US" w:eastAsia="zh-CN"/>
              </w:rPr>
              <w:t>的：</w:t>
            </w:r>
            <w:r>
              <w:rPr>
                <w:color w:val="auto"/>
                <w:sz w:val="20"/>
              </w:rPr>
              <w:t>服装（西服、制式服装、衬衫、大衣、西背、西裤）、针纺织品（火车座椅套、火车铺套、布艺类装饰用品）、床上用品的</w:t>
            </w:r>
            <w:r>
              <w:rPr>
                <w:rFonts w:hint="eastAsia"/>
                <w:color w:val="auto"/>
                <w:sz w:val="20"/>
                <w:lang w:val="en-US" w:eastAsia="zh-CN"/>
              </w:rPr>
              <w:t>生产所涉及的能源管理活动</w:t>
            </w:r>
            <w:r>
              <w:rPr>
                <w:rFonts w:hint="eastAsia"/>
                <w:color w:val="auto"/>
                <w:lang w:val="en-US" w:eastAsia="zh-CN"/>
              </w:rPr>
              <w:t>。该活动涵盖了能源购入、转换、输送、使用所涉及的生产系统、辅助生产系统和附属生产系统活动全过程。</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sz w:val="21"/>
                <w:szCs w:val="21"/>
                <w:lang w:val="en-US" w:eastAsia="zh-CN"/>
              </w:rPr>
              <w:t>能源管理体系的</w:t>
            </w:r>
            <w:r>
              <w:rPr>
                <w:rFonts w:hint="eastAsia" w:ascii="宋体" w:hAnsi="宋体" w:cs="Times New Roman"/>
                <w:color w:val="auto"/>
                <w:sz w:val="21"/>
                <w:szCs w:val="21"/>
                <w:lang w:val="en-US" w:eastAsia="zh-CN"/>
              </w:rPr>
              <w:t>持续运行</w:t>
            </w:r>
          </w:p>
        </w:tc>
        <w:tc>
          <w:tcPr>
            <w:tcW w:w="960" w:type="dxa"/>
          </w:tcPr>
          <w:p>
            <w:pP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4.4</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公司总经理</w:t>
            </w:r>
            <w:r>
              <w:rPr>
                <w:rFonts w:hint="eastAsia"/>
                <w:b/>
                <w:bCs/>
                <w:color w:val="auto"/>
                <w:sz w:val="20"/>
                <w:lang w:val="en-US" w:eastAsia="zh-CN"/>
              </w:rPr>
              <w:t>尹建</w:t>
            </w:r>
            <w:r>
              <w:rPr>
                <w:rFonts w:hint="eastAsia"/>
                <w:color w:val="auto"/>
                <w:sz w:val="20"/>
                <w:lang w:val="en-US" w:eastAsia="zh-CN"/>
              </w:rPr>
              <w:t>重视节能降耗工作，为了系统高效地开展节约能源工作，使公司原有的节能管理更加系统化、规范化、标准化，公司根据GB/T 23332-2020 idt ISO 50001:2018、《RB∕T102-2013能源管理体系纺织企业认证要求》标准及国家相关法律法规，充分结合本公司能源管理的实际情况，持续能源管理体系，通过全面系统的策划、实施、检查和改进，对能源管理的全过程进行系统的科学监控，有效控制能源消耗并最终实现提高能源利用效率、降低能源消耗的目的。</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2160" w:type="dxa"/>
          </w:tcPr>
          <w:p>
            <w:pP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领导作用和承诺</w:t>
            </w:r>
            <w:r>
              <w:rPr>
                <w:rFonts w:hint="eastAsia" w:ascii="宋体" w:hAnsi="宋体" w:cs="Times New Roman"/>
                <w:color w:val="auto"/>
                <w:sz w:val="21"/>
                <w:szCs w:val="21"/>
                <w:lang w:val="en-US" w:eastAsia="zh-CN"/>
              </w:rPr>
              <w:t xml:space="preserve"> </w:t>
            </w:r>
          </w:p>
        </w:tc>
        <w:tc>
          <w:tcPr>
            <w:tcW w:w="960" w:type="dxa"/>
          </w:tcPr>
          <w:p>
            <w:pP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5.1</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公司总经理（最高管理者）在《能源管理手册》中承诺支持能源管理体系，并持续改进能源管理体系的有效性，通过贯彻落实国家及政府各项能源法规和政策、通过能源管理团队、建立能源方针、目标和能源指标、确保提供能源管理体系所需的资源、确保能源管理措施计划得以批准和实施、促进能源绩效和能源管理体系的持续改进、指导并支持员工为能源管理体系的有效性和能源绩效改进做出贡献等活动得以落实，均符合标准的要求。</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2160" w:type="dxa"/>
          </w:tcPr>
          <w:p>
            <w:pPr>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能源方针</w:t>
            </w:r>
            <w:r>
              <w:rPr>
                <w:rFonts w:hint="eastAsia" w:ascii="宋体" w:hAnsi="宋体" w:cs="Times New Roman"/>
                <w:color w:val="auto"/>
                <w:sz w:val="21"/>
                <w:szCs w:val="21"/>
                <w:lang w:val="en-US" w:eastAsia="zh-CN"/>
              </w:rPr>
              <w:t>/目标</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5.2</w:t>
            </w:r>
            <w:r>
              <w:rPr>
                <w:rFonts w:hint="eastAsia" w:ascii="宋体" w:hAnsi="宋体" w:cs="Times New Roman"/>
                <w:color w:val="auto"/>
                <w:sz w:val="21"/>
                <w:szCs w:val="21"/>
                <w:lang w:val="en-US" w:eastAsia="zh-CN"/>
              </w:rPr>
              <w:t>/6.2</w:t>
            </w:r>
            <w:r>
              <w:rPr>
                <w:rFonts w:hint="eastAsia" w:ascii="宋体" w:hAnsi="宋体" w:eastAsia="宋体" w:cs="Times New Roman"/>
                <w:color w:val="auto"/>
                <w:sz w:val="21"/>
                <w:szCs w:val="21"/>
                <w:lang w:val="en-US" w:eastAsia="zh-CN"/>
              </w:rPr>
              <w:t xml:space="preserve"> </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 xml:space="preserve">公司能源管理方针为： </w:t>
            </w:r>
          </w:p>
          <w:p>
            <w:pPr>
              <w:ind w:firstLine="400" w:firstLineChars="200"/>
              <w:rPr>
                <w:rFonts w:hint="eastAsia"/>
                <w:color w:val="auto"/>
                <w:sz w:val="20"/>
                <w:lang w:val="en-US" w:eastAsia="zh-CN"/>
              </w:rPr>
            </w:pPr>
            <w:r>
              <w:rPr>
                <w:rFonts w:hint="eastAsia"/>
                <w:color w:val="auto"/>
                <w:sz w:val="20"/>
                <w:lang w:val="en-US" w:eastAsia="zh-CN"/>
              </w:rPr>
              <w:t>遵规守法，节能降耗；绿色环保，协调发展。</w:t>
            </w:r>
          </w:p>
          <w:p>
            <w:pPr>
              <w:ind w:firstLine="400" w:firstLineChars="200"/>
              <w:rPr>
                <w:rFonts w:hint="eastAsia"/>
                <w:color w:val="auto"/>
                <w:sz w:val="20"/>
                <w:lang w:val="en-US" w:eastAsia="zh-CN"/>
              </w:rPr>
            </w:pPr>
            <w:r>
              <w:rPr>
                <w:rFonts w:hint="eastAsia"/>
                <w:color w:val="auto"/>
                <w:sz w:val="20"/>
                <w:lang w:val="en-US" w:eastAsia="zh-CN"/>
              </w:rPr>
              <w:t>能源方针内容基本符合标准要求和企业实际。能源方针由总经理批准发布，以书面、电子媒介、宣传栏等方式，便于员工、顾客及其他相关方所获取，并且予以评审。</w:t>
            </w:r>
          </w:p>
          <w:p>
            <w:pPr>
              <w:ind w:firstLine="400" w:firstLineChars="200"/>
              <w:rPr>
                <w:rFonts w:hint="eastAsia"/>
                <w:color w:val="auto"/>
                <w:sz w:val="20"/>
                <w:lang w:val="en-US" w:eastAsia="zh-CN"/>
              </w:rPr>
            </w:pPr>
            <w:r>
              <w:rPr>
                <w:rFonts w:hint="eastAsia"/>
                <w:color w:val="auto"/>
                <w:sz w:val="20"/>
                <w:lang w:val="en-US" w:eastAsia="zh-CN"/>
              </w:rPr>
              <w:t xml:space="preserve"> 2021年、2022年能源管理体系目标指标为：公司级：</w:t>
            </w:r>
          </w:p>
          <w:p>
            <w:pPr>
              <w:jc w:val="center"/>
              <w:rPr>
                <w:color w:val="auto"/>
              </w:rPr>
            </w:pPr>
            <w:r>
              <w:drawing>
                <wp:inline distT="0" distB="0" distL="114300" distR="114300">
                  <wp:extent cx="6185535" cy="1503680"/>
                  <wp:effectExtent l="0" t="0" r="1206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6185535" cy="1503680"/>
                          </a:xfrm>
                          <a:prstGeom prst="rect">
                            <a:avLst/>
                          </a:prstGeom>
                          <a:noFill/>
                          <a:ln>
                            <a:noFill/>
                          </a:ln>
                        </pic:spPr>
                      </pic:pic>
                    </a:graphicData>
                  </a:graphic>
                </wp:inline>
              </w:drawing>
            </w:r>
          </w:p>
          <w:p>
            <w:pPr>
              <w:ind w:firstLine="400" w:firstLineChars="200"/>
              <w:rPr>
                <w:rFonts w:hint="default"/>
                <w:color w:val="auto"/>
                <w:sz w:val="20"/>
                <w:lang w:val="en-US" w:eastAsia="zh-CN"/>
              </w:rPr>
            </w:pPr>
            <w:r>
              <w:rPr>
                <w:rFonts w:hint="eastAsia"/>
                <w:color w:val="auto"/>
                <w:sz w:val="20"/>
                <w:lang w:val="en-US" w:eastAsia="zh-CN"/>
              </w:rPr>
              <w:t>查阅公司对2021年能源的完成值，全部完成。</w:t>
            </w:r>
            <w:r>
              <w:rPr>
                <w:rFonts w:hint="eastAsia"/>
                <w:color w:val="FF0000"/>
                <w:sz w:val="20"/>
                <w:lang w:val="en-US" w:eastAsia="zh-CN"/>
              </w:rPr>
              <w:t>2022年1-9月份的单位产值综合能耗指标未完成——问题项</w:t>
            </w:r>
            <w:r>
              <w:rPr>
                <w:rFonts w:hint="eastAsia"/>
                <w:color w:val="auto"/>
                <w:sz w:val="20"/>
                <w:lang w:val="en-US" w:eastAsia="zh-CN"/>
              </w:rPr>
              <w:t>，已沟通。</w:t>
            </w:r>
          </w:p>
          <w:p>
            <w:pPr>
              <w:jc w:val="center"/>
              <w:rPr>
                <w:rFonts w:hint="default"/>
                <w:color w:val="auto"/>
                <w:sz w:val="20"/>
                <w:lang w:val="en-US" w:eastAsia="zh-CN"/>
              </w:rPr>
            </w:pP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组织的岗位、职责和权限</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5.3 </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 xml:space="preserve">公司组建能源管理团队，具体负责以下工作： </w:t>
            </w:r>
          </w:p>
          <w:p>
            <w:pPr>
              <w:ind w:firstLine="400" w:firstLineChars="200"/>
              <w:rPr>
                <w:rFonts w:hint="eastAsia"/>
                <w:color w:val="auto"/>
                <w:sz w:val="20"/>
                <w:lang w:val="en-US" w:eastAsia="zh-CN"/>
              </w:rPr>
            </w:pPr>
            <w:r>
              <w:rPr>
                <w:rFonts w:hint="eastAsia"/>
                <w:color w:val="auto"/>
                <w:sz w:val="20"/>
                <w:lang w:val="en-US" w:eastAsia="zh-CN"/>
              </w:rPr>
              <w:t>a) 确保管理体系符合本标准的要求；</w:t>
            </w:r>
          </w:p>
          <w:p>
            <w:pPr>
              <w:ind w:firstLine="400" w:firstLineChars="200"/>
              <w:rPr>
                <w:rFonts w:hint="eastAsia"/>
                <w:color w:val="auto"/>
                <w:sz w:val="20"/>
                <w:lang w:val="en-US" w:eastAsia="zh-CN"/>
              </w:rPr>
            </w:pPr>
            <w:r>
              <w:rPr>
                <w:rFonts w:hint="eastAsia"/>
                <w:color w:val="auto"/>
                <w:sz w:val="20"/>
                <w:lang w:val="en-US" w:eastAsia="zh-CN"/>
              </w:rPr>
              <w:t>b) 确保过程相互作用并产生期望的结果；</w:t>
            </w:r>
          </w:p>
          <w:p>
            <w:pPr>
              <w:ind w:firstLine="400" w:firstLineChars="200"/>
              <w:rPr>
                <w:rFonts w:hint="eastAsia"/>
                <w:color w:val="auto"/>
                <w:sz w:val="20"/>
                <w:lang w:val="en-US" w:eastAsia="zh-CN"/>
              </w:rPr>
            </w:pPr>
            <w:r>
              <w:rPr>
                <w:rFonts w:hint="eastAsia"/>
                <w:color w:val="auto"/>
                <w:sz w:val="20"/>
                <w:lang w:val="en-US" w:eastAsia="zh-CN"/>
              </w:rPr>
              <w:t>c) 向总经理报告管理体系的绩效和任何改进的需求；</w:t>
            </w:r>
          </w:p>
          <w:p>
            <w:pPr>
              <w:ind w:firstLine="400" w:firstLineChars="200"/>
              <w:rPr>
                <w:rFonts w:hint="eastAsia"/>
                <w:color w:val="auto"/>
                <w:sz w:val="20"/>
                <w:lang w:val="en-US" w:eastAsia="zh-CN"/>
              </w:rPr>
            </w:pPr>
            <w:r>
              <w:rPr>
                <w:rFonts w:hint="eastAsia"/>
                <w:color w:val="auto"/>
                <w:sz w:val="20"/>
                <w:lang w:val="en-US" w:eastAsia="zh-CN"/>
              </w:rPr>
              <w:t>d) 确保在整个组织内提高满足顾客要求的意识；</w:t>
            </w:r>
          </w:p>
          <w:p>
            <w:pPr>
              <w:ind w:firstLine="400" w:firstLineChars="200"/>
              <w:rPr>
                <w:rFonts w:hint="eastAsia"/>
                <w:color w:val="auto"/>
                <w:sz w:val="20"/>
                <w:lang w:val="en-US" w:eastAsia="zh-CN"/>
              </w:rPr>
            </w:pPr>
            <w:r>
              <w:rPr>
                <w:rFonts w:hint="eastAsia"/>
                <w:color w:val="auto"/>
                <w:sz w:val="20"/>
                <w:lang w:val="en-US" w:eastAsia="zh-CN"/>
              </w:rPr>
              <w:t>e)确保体系在任何情况下的完整性。</w:t>
            </w:r>
          </w:p>
          <w:p>
            <w:pPr>
              <w:ind w:firstLine="400" w:firstLineChars="200"/>
              <w:rPr>
                <w:rFonts w:hint="eastAsia"/>
                <w:color w:val="auto"/>
                <w:sz w:val="20"/>
                <w:lang w:val="en-US" w:eastAsia="zh-CN"/>
              </w:rPr>
            </w:pPr>
            <w:r>
              <w:rPr>
                <w:rFonts w:hint="eastAsia"/>
                <w:color w:val="auto"/>
                <w:sz w:val="20"/>
                <w:lang w:val="en-US" w:eastAsia="zh-CN"/>
              </w:rPr>
              <w:t>公司设有管理层、生产部、业务部、综合管理部、财务部等，从管理层到各部门、各岗位能源职责权限均以文件化予以规定（在《能源管理手册》5.3条款中予以规定以及在《部门及岗位职责》中予以描述）。</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应对风险和机遇的措施</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6.1</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公司管理层有一定的风险意识，将风险和机遇作为高层战略决策的重要内容，特别在涉及公司发展和新材料、新技术引用以及节能技术改造投资上能够充分识别风险和机遇，预测潜在的问题及其后果，以便在发生不利影响之前采取预防措施。同样，可识别和追踪可能提供潜在优势或有益结果的有利考量或环境。</w:t>
            </w:r>
          </w:p>
          <w:p>
            <w:pPr>
              <w:ind w:firstLine="400" w:firstLineChars="200"/>
              <w:rPr>
                <w:rFonts w:hint="eastAsia"/>
                <w:color w:val="auto"/>
                <w:sz w:val="20"/>
                <w:lang w:val="en-US" w:eastAsia="zh-CN"/>
              </w:rPr>
            </w:pPr>
            <w:r>
              <w:rPr>
                <w:rFonts w:hint="eastAsia"/>
                <w:color w:val="auto"/>
                <w:sz w:val="20"/>
                <w:lang w:val="en-US" w:eastAsia="zh-CN"/>
              </w:rPr>
              <w:t>公司已策划了《CDGD/EnMS-CX-02-2021风险和机遇的应对措施控制程序》。提供《风险与机会评价与应对策划表》，编制：曹俊萍，审核：闫朝银，批准：尹建，2022年1月10日，按照；风险及机遇的识别（类别、外部因素及相关方描述、风险和机遇）、风险及机遇评估（发生可能性*严重性</w:t>
            </w:r>
            <w:r>
              <w:rPr>
                <w:rFonts w:hint="eastAsia"/>
                <w:color w:val="auto"/>
                <w:sz w:val="20"/>
                <w:lang w:val="en-US" w:eastAsia="zh-CN"/>
              </w:rPr>
              <w:tab/>
            </w:r>
            <w:r>
              <w:rPr>
                <w:rFonts w:hint="eastAsia"/>
                <w:color w:val="auto"/>
                <w:sz w:val="20"/>
                <w:lang w:val="en-US" w:eastAsia="zh-CN"/>
              </w:rPr>
              <w:t>、等级）、风险及机遇应对措施、执行、部门、措施有效性、评价人等进行，共分析评价出7个高风险，其余10个位一般风险和低风险。</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资源</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7.1 </w:t>
            </w:r>
          </w:p>
        </w:tc>
        <w:tc>
          <w:tcPr>
            <w:tcW w:w="10376" w:type="dxa"/>
          </w:tcPr>
          <w:p>
            <w:pPr>
              <w:widowControl/>
              <w:spacing w:after="0"/>
              <w:ind w:firstLine="400" w:firstLineChars="200"/>
              <w:jc w:val="left"/>
              <w:rPr>
                <w:color w:val="auto"/>
              </w:rPr>
            </w:pPr>
            <w:r>
              <w:rPr>
                <w:rFonts w:hint="eastAsia"/>
                <w:color w:val="auto"/>
                <w:sz w:val="20"/>
              </w:rPr>
              <w:t>公司</w:t>
            </w:r>
            <w:r>
              <w:rPr>
                <w:rFonts w:hint="eastAsia"/>
                <w:color w:val="auto"/>
                <w:szCs w:val="21"/>
              </w:rPr>
              <w:t>总人数</w:t>
            </w:r>
            <w:r>
              <w:rPr>
                <w:rFonts w:hint="eastAsia"/>
                <w:color w:val="auto"/>
                <w:szCs w:val="21"/>
                <w:lang w:val="en-US" w:eastAsia="zh-CN"/>
              </w:rPr>
              <w:t>157</w:t>
            </w:r>
            <w:r>
              <w:rPr>
                <w:rFonts w:hint="eastAsia"/>
                <w:color w:val="auto"/>
                <w:szCs w:val="21"/>
              </w:rPr>
              <w:t>人，其中体系覆盖人数</w:t>
            </w:r>
            <w:r>
              <w:rPr>
                <w:rFonts w:hint="eastAsia"/>
                <w:color w:val="auto"/>
                <w:szCs w:val="21"/>
                <w:lang w:val="en-US" w:eastAsia="zh-CN"/>
              </w:rPr>
              <w:t>60</w:t>
            </w:r>
            <w:r>
              <w:rPr>
                <w:rFonts w:hint="eastAsia"/>
                <w:color w:val="auto"/>
                <w:szCs w:val="21"/>
              </w:rPr>
              <w:t>人</w:t>
            </w:r>
            <w:r>
              <w:rPr>
                <w:rFonts w:hint="eastAsia"/>
                <w:color w:val="auto"/>
                <w:szCs w:val="21"/>
                <w:lang w:eastAsia="zh-CN"/>
              </w:rPr>
              <w:t>；</w:t>
            </w:r>
            <w:r>
              <w:rPr>
                <w:rFonts w:hint="eastAsia"/>
                <w:color w:val="auto"/>
                <w:szCs w:val="21"/>
                <w:lang w:val="en-US" w:eastAsia="zh-CN"/>
              </w:rPr>
              <w:t>12人拥有大专以上文凭。管理人员 15人；操作人员 45人；</w:t>
            </w:r>
            <w:r>
              <w:rPr>
                <w:rFonts w:hint="eastAsia"/>
                <w:color w:val="auto"/>
                <w:szCs w:val="21"/>
              </w:rPr>
              <w:t>从事相同/重复工作人数</w:t>
            </w:r>
            <w:r>
              <w:rPr>
                <w:rFonts w:hint="eastAsia"/>
                <w:color w:val="auto"/>
                <w:szCs w:val="21"/>
                <w:lang w:val="en-US" w:eastAsia="zh-CN"/>
              </w:rPr>
              <w:t>0</w:t>
            </w:r>
            <w:r>
              <w:rPr>
                <w:rFonts w:hint="eastAsia"/>
                <w:color w:val="auto"/>
                <w:szCs w:val="21"/>
              </w:rPr>
              <w:t>人；劳务派遣人员0 人；</w:t>
            </w:r>
            <w:r>
              <w:rPr>
                <w:rFonts w:hint="eastAsia"/>
                <w:color w:val="auto"/>
                <w:szCs w:val="21"/>
                <w:lang w:val="en-US" w:eastAsia="zh-CN"/>
              </w:rPr>
              <w:t>兼职人员0人；</w:t>
            </w:r>
            <w:r>
              <w:rPr>
                <w:rFonts w:hint="eastAsia"/>
                <w:color w:val="auto"/>
                <w:szCs w:val="21"/>
              </w:rPr>
              <w:t>临时工0 人；其中承包商员工数0人；季节工 0 人。</w:t>
            </w:r>
            <w:r>
              <w:rPr>
                <w:rFonts w:hint="eastAsia"/>
                <w:color w:val="auto"/>
                <w:szCs w:val="21"/>
                <w:lang w:val="en-US" w:eastAsia="zh-CN"/>
              </w:rPr>
              <w:t>占地面积：7658.25平米，注册资本1.02亿元</w:t>
            </w:r>
            <w:r>
              <w:rPr>
                <w:rFonts w:hint="eastAsia"/>
                <w:color w:val="auto"/>
                <w:sz w:val="20"/>
                <w:szCs w:val="22"/>
              </w:rPr>
              <w:t>。</w:t>
            </w:r>
          </w:p>
          <w:p>
            <w:pPr>
              <w:widowControl/>
              <w:spacing w:after="0"/>
              <w:ind w:firstLine="400" w:firstLineChars="200"/>
              <w:jc w:val="left"/>
              <w:rPr>
                <w:rFonts w:hint="eastAsia" w:eastAsia="宋体"/>
                <w:color w:val="auto"/>
                <w:sz w:val="20"/>
                <w:szCs w:val="22"/>
                <w:lang w:eastAsia="zh-CN"/>
              </w:rPr>
            </w:pPr>
            <w:r>
              <w:rPr>
                <w:rFonts w:hint="eastAsia"/>
                <w:color w:val="auto"/>
                <w:sz w:val="20"/>
                <w:szCs w:val="22"/>
              </w:rPr>
              <w:t>企业</w:t>
            </w:r>
            <w:r>
              <w:rPr>
                <w:rFonts w:hint="eastAsia"/>
                <w:color w:val="auto"/>
                <w:sz w:val="20"/>
                <w:szCs w:val="22"/>
                <w:lang w:val="en-US" w:eastAsia="zh-CN"/>
              </w:rPr>
              <w:t>拥有1167台套设备，</w:t>
            </w:r>
            <w:r>
              <w:rPr>
                <w:rFonts w:hint="eastAsia"/>
                <w:color w:val="auto"/>
                <w:sz w:val="20"/>
                <w:szCs w:val="22"/>
              </w:rPr>
              <w:t>主要消耗能源种类为电力</w:t>
            </w:r>
            <w:r>
              <w:rPr>
                <w:rFonts w:hint="eastAsia"/>
                <w:color w:val="auto"/>
                <w:sz w:val="20"/>
                <w:szCs w:val="22"/>
                <w:lang w:eastAsia="zh-CN"/>
              </w:rPr>
              <w:t>、</w:t>
            </w:r>
            <w:r>
              <w:rPr>
                <w:rFonts w:hint="eastAsia"/>
                <w:color w:val="auto"/>
                <w:sz w:val="20"/>
                <w:szCs w:val="22"/>
                <w:lang w:val="en-US" w:eastAsia="zh-CN"/>
              </w:rPr>
              <w:t>水、天然气</w:t>
            </w:r>
            <w:r>
              <w:rPr>
                <w:rFonts w:hint="eastAsia"/>
                <w:color w:val="auto"/>
                <w:sz w:val="20"/>
                <w:szCs w:val="22"/>
              </w:rPr>
              <w:t>，</w:t>
            </w:r>
            <w:r>
              <w:rPr>
                <w:rFonts w:hint="eastAsia"/>
                <w:color w:val="auto"/>
                <w:sz w:val="20"/>
                <w:szCs w:val="22"/>
                <w:lang w:val="en-US" w:eastAsia="zh-CN"/>
              </w:rPr>
              <w:t>能源计量器具</w:t>
            </w:r>
            <w:r>
              <w:rPr>
                <w:rFonts w:hint="eastAsia"/>
                <w:color w:val="auto"/>
                <w:sz w:val="20"/>
                <w:szCs w:val="22"/>
                <w:lang w:eastAsia="zh-CN"/>
              </w:rPr>
              <w:t>，</w:t>
            </w:r>
            <w:r>
              <w:rPr>
                <w:rFonts w:hint="eastAsia"/>
                <w:color w:val="auto"/>
                <w:sz w:val="20"/>
                <w:szCs w:val="22"/>
                <w:lang w:val="en-US" w:eastAsia="zh-CN"/>
              </w:rPr>
              <w:t>有电表、水表、燃气表</w:t>
            </w:r>
            <w:r>
              <w:rPr>
                <w:rFonts w:hint="eastAsia"/>
                <w:color w:val="auto"/>
                <w:sz w:val="20"/>
                <w:szCs w:val="22"/>
                <w:lang w:eastAsia="zh-CN"/>
              </w:rPr>
              <w:t>。</w:t>
            </w:r>
          </w:p>
          <w:p>
            <w:pPr>
              <w:ind w:firstLine="420" w:firstLineChars="200"/>
              <w:rPr>
                <w:rFonts w:hint="eastAsia"/>
                <w:color w:val="auto"/>
                <w:sz w:val="20"/>
                <w:lang w:val="en-US" w:eastAsia="zh-CN"/>
              </w:rPr>
            </w:pPr>
            <w:r>
              <w:rPr>
                <w:rFonts w:hint="eastAsia"/>
                <w:color w:val="auto"/>
                <w:szCs w:val="21"/>
              </w:rPr>
              <w:t>公司的组织机构：管理层、</w:t>
            </w:r>
            <w:r>
              <w:rPr>
                <w:rFonts w:hint="eastAsia"/>
                <w:color w:val="auto"/>
                <w:szCs w:val="21"/>
                <w:lang w:val="en-US" w:eastAsia="zh-CN"/>
              </w:rPr>
              <w:t>财务部、业务部、生产部、综合管理部</w:t>
            </w:r>
            <w:r>
              <w:rPr>
                <w:rFonts w:hint="eastAsia"/>
                <w:color w:val="auto"/>
                <w:szCs w:val="21"/>
              </w:rPr>
              <w:t>。</w:t>
            </w:r>
            <w:r>
              <w:rPr>
                <w:rFonts w:hint="eastAsia"/>
                <w:color w:val="auto"/>
                <w:sz w:val="20"/>
                <w:lang w:val="en-US" w:eastAsia="zh-CN"/>
              </w:rPr>
              <w:t>。</w:t>
            </w:r>
          </w:p>
          <w:p>
            <w:pPr>
              <w:ind w:firstLine="400" w:firstLineChars="200"/>
              <w:rPr>
                <w:rFonts w:hint="eastAsia"/>
                <w:color w:val="auto"/>
                <w:sz w:val="20"/>
                <w:lang w:val="en-US" w:eastAsia="zh-CN"/>
              </w:rPr>
            </w:pPr>
            <w:r>
              <w:rPr>
                <w:rFonts w:hint="eastAsia"/>
                <w:color w:val="auto"/>
                <w:sz w:val="20"/>
                <w:lang w:val="en-US" w:eastAsia="zh-CN"/>
              </w:rPr>
              <w:t>资源配置能够满足建立、实施、保持和持续改进能源绩效和能源管理体系的有效运行。</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管理评审</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9.3 </w:t>
            </w:r>
          </w:p>
        </w:tc>
        <w:tc>
          <w:tcPr>
            <w:tcW w:w="10376" w:type="dxa"/>
          </w:tcPr>
          <w:p>
            <w:pPr>
              <w:ind w:firstLine="400" w:firstLineChars="200"/>
              <w:rPr>
                <w:rFonts w:hint="default"/>
                <w:color w:val="auto"/>
                <w:sz w:val="20"/>
                <w:lang w:val="en-US" w:eastAsia="zh-CN"/>
              </w:rPr>
            </w:pPr>
            <w:r>
              <w:rPr>
                <w:rFonts w:hint="eastAsia"/>
                <w:color w:val="auto"/>
                <w:sz w:val="20"/>
                <w:lang w:val="en-US" w:eastAsia="zh-CN"/>
              </w:rPr>
              <w:t>1、公司自能源管理体系运行以来组织了一次管理评审，日期： 2022年7月10日。采用会议形式，总经理陈成主持会议。提供《CDGD/EnMS-CX-17-2021管理评审控制程序》，有编审批，符合要求。</w:t>
            </w:r>
          </w:p>
          <w:p>
            <w:pPr>
              <w:ind w:firstLine="400" w:firstLineChars="200"/>
              <w:rPr>
                <w:rFonts w:hint="default"/>
                <w:color w:val="auto"/>
                <w:sz w:val="20"/>
                <w:lang w:val="en-US" w:eastAsia="zh-CN"/>
              </w:rPr>
            </w:pPr>
            <w:r>
              <w:rPr>
                <w:rFonts w:hint="eastAsia"/>
                <w:color w:val="auto"/>
                <w:sz w:val="20"/>
                <w:lang w:val="en-US" w:eastAsia="zh-CN"/>
              </w:rPr>
              <w:t>2、提供：管理评审档案，含  1.管理评审计划、2.管理评审报告、3.签到表、各部门管理评审输入资料，编审批齐全。出示“管理评审会议签到表”总经理、中层以上负责人参加并签到，提供了签到表。</w:t>
            </w:r>
          </w:p>
          <w:p>
            <w:pPr>
              <w:jc w:val="center"/>
              <w:rPr>
                <w:rFonts w:hint="eastAsia"/>
                <w:color w:val="auto"/>
                <w:sz w:val="20"/>
                <w:lang w:val="en-US" w:eastAsia="zh-CN"/>
              </w:rPr>
            </w:pPr>
          </w:p>
          <w:p>
            <w:pPr>
              <w:ind w:firstLine="400" w:firstLineChars="200"/>
              <w:rPr>
                <w:rFonts w:hint="eastAsia"/>
                <w:color w:val="auto"/>
                <w:sz w:val="20"/>
                <w:lang w:val="en-US" w:eastAsia="zh-CN"/>
              </w:rPr>
            </w:pPr>
            <w:r>
              <w:rPr>
                <w:rFonts w:hint="eastAsia"/>
                <w:color w:val="auto"/>
                <w:sz w:val="20"/>
                <w:lang w:val="en-US" w:eastAsia="zh-CN"/>
              </w:rPr>
              <w:t>出示“管理评审会议记录”，查评审输入内容包括：</w:t>
            </w:r>
          </w:p>
          <w:p>
            <w:pPr>
              <w:ind w:firstLine="400" w:firstLineChars="200"/>
              <w:rPr>
                <w:rFonts w:hint="eastAsia"/>
                <w:color w:val="auto"/>
                <w:sz w:val="20"/>
                <w:lang w:val="en-US" w:eastAsia="zh-CN"/>
              </w:rPr>
            </w:pPr>
            <w:r>
              <w:rPr>
                <w:rFonts w:hint="eastAsia"/>
                <w:color w:val="auto"/>
                <w:sz w:val="20"/>
                <w:lang w:val="en-US" w:eastAsia="zh-CN"/>
              </w:rPr>
              <w:t>3、评审目的：确保公司建立的能源管理体系持续的适宜性、充分性和有效性，评审能源方针的适宜性，能源管理绩效，能源目标和指标的实现程度等，以确定能源管理体系和能源节约的持续改进方向建议及资源需求。</w:t>
            </w:r>
          </w:p>
          <w:p>
            <w:pPr>
              <w:ind w:firstLine="400" w:firstLineChars="200"/>
              <w:rPr>
                <w:rFonts w:hint="eastAsia"/>
                <w:color w:val="auto"/>
                <w:sz w:val="20"/>
                <w:szCs w:val="22"/>
                <w:lang w:val="en-US" w:eastAsia="zh-CN"/>
              </w:rPr>
            </w:pPr>
            <w:r>
              <w:rPr>
                <w:rFonts w:hint="eastAsia"/>
                <w:color w:val="auto"/>
                <w:sz w:val="20"/>
                <w:szCs w:val="22"/>
                <w:lang w:val="en-US" w:eastAsia="zh-CN"/>
              </w:rPr>
              <w:t>评审组织：主持：总经理，出席：管理者代表、各部门负责人。</w:t>
            </w:r>
          </w:p>
          <w:p>
            <w:pPr>
              <w:ind w:firstLine="400" w:firstLineChars="200"/>
              <w:rPr>
                <w:rFonts w:hint="eastAsia"/>
                <w:color w:val="auto"/>
                <w:sz w:val="20"/>
                <w:lang w:val="en-US" w:eastAsia="zh-CN"/>
              </w:rPr>
            </w:pPr>
            <w:r>
              <w:rPr>
                <w:rFonts w:hint="eastAsia"/>
                <w:color w:val="auto"/>
                <w:sz w:val="20"/>
                <w:lang w:val="en-US" w:eastAsia="zh-CN"/>
              </w:rPr>
              <w:t>4、会议议程：（1）能源分管领导作2021年节能工作总结报告，（2）管理者代表作内审工作汇报，（3）生产部、管理部门分别评审管理体系运行过程中与其职责相关的过程，（4）生产部、管理部门就能源绩效改进机会及资源需求讨论，（5）最高管理者作会议总结，确定评审结果及后续采取措施</w:t>
            </w:r>
          </w:p>
          <w:p>
            <w:pPr>
              <w:ind w:firstLine="400" w:firstLineChars="200"/>
              <w:rPr>
                <w:rFonts w:hint="eastAsia"/>
                <w:color w:val="auto"/>
                <w:sz w:val="20"/>
                <w:lang w:val="en-US" w:eastAsia="zh-CN"/>
              </w:rPr>
            </w:pPr>
            <w:r>
              <w:rPr>
                <w:rFonts w:hint="eastAsia"/>
                <w:color w:val="auto"/>
                <w:sz w:val="20"/>
                <w:lang w:val="en-US" w:eastAsia="zh-CN"/>
              </w:rPr>
              <w:t xml:space="preserve">5、评审内容：（1）管理体系的持续适宜性、充分性、有效性；（2）管理实施方案的执行情况和目标、指针的完成情况；（3）纠正、预防措施的状况；（4）管理体系的改进机会及变更的需要；（5）来自外部相关方的信息交流。 </w:t>
            </w:r>
          </w:p>
          <w:p>
            <w:pPr>
              <w:ind w:firstLine="400" w:firstLineChars="200"/>
              <w:rPr>
                <w:rFonts w:hint="eastAsia"/>
                <w:color w:val="auto"/>
                <w:sz w:val="20"/>
                <w:lang w:val="en-US" w:eastAsia="zh-CN"/>
              </w:rPr>
            </w:pPr>
            <w:r>
              <w:rPr>
                <w:rFonts w:hint="eastAsia"/>
                <w:color w:val="auto"/>
                <w:sz w:val="20"/>
                <w:lang w:val="en-US" w:eastAsia="zh-CN"/>
              </w:rPr>
              <w:t xml:space="preserve">6、管理评审输出，形成《管理评审报告》编审批齐全 。内容包括：   </w:t>
            </w:r>
          </w:p>
          <w:p>
            <w:pPr>
              <w:ind w:firstLine="400" w:firstLineChars="200"/>
              <w:rPr>
                <w:rFonts w:hint="eastAsia"/>
                <w:color w:val="auto"/>
                <w:sz w:val="20"/>
                <w:lang w:val="en-US" w:eastAsia="zh-CN"/>
              </w:rPr>
            </w:pPr>
            <w:r>
              <w:rPr>
                <w:rFonts w:hint="eastAsia"/>
                <w:color w:val="auto"/>
                <w:sz w:val="20"/>
                <w:lang w:val="en-US" w:eastAsia="zh-CN"/>
              </w:rPr>
              <w:t>管理评审结论：</w:t>
            </w:r>
          </w:p>
          <w:p>
            <w:pPr>
              <w:ind w:firstLine="400" w:firstLineChars="200"/>
              <w:rPr>
                <w:rFonts w:hint="eastAsia"/>
                <w:color w:val="auto"/>
                <w:sz w:val="20"/>
                <w:lang w:val="en-US" w:eastAsia="zh-CN"/>
              </w:rPr>
            </w:pPr>
            <w:r>
              <w:rPr>
                <w:rFonts w:hint="eastAsia"/>
                <w:color w:val="auto"/>
                <w:sz w:val="20"/>
                <w:lang w:val="en-US" w:eastAsia="zh-CN"/>
              </w:rPr>
              <w:t>公司的能源管理体系与标准的要求一致，体系策划是充分的，体系档与公司目前的现状相一致，是适宜的，体系经过现阶段的运行是有效的。</w:t>
            </w:r>
          </w:p>
          <w:p>
            <w:pPr>
              <w:ind w:firstLine="400" w:firstLineChars="200"/>
              <w:rPr>
                <w:rFonts w:hint="eastAsia"/>
                <w:color w:val="auto"/>
                <w:sz w:val="20"/>
                <w:lang w:val="en-US" w:eastAsia="zh-CN"/>
              </w:rPr>
            </w:pPr>
            <w:r>
              <w:rPr>
                <w:rFonts w:hint="eastAsia"/>
                <w:color w:val="auto"/>
                <w:sz w:val="20"/>
                <w:lang w:val="en-US" w:eastAsia="zh-CN"/>
              </w:rPr>
              <w:t>公司的能源管理体系能够得到有效的运行，是公司全体员工上下齐心努力的结果，希望大家再接再厉！</w:t>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1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持续改进</w:t>
            </w:r>
          </w:p>
        </w:tc>
        <w:tc>
          <w:tcPr>
            <w:tcW w:w="960" w:type="dxa"/>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10.2 </w:t>
            </w:r>
          </w:p>
        </w:tc>
        <w:tc>
          <w:tcPr>
            <w:tcW w:w="10376" w:type="dxa"/>
          </w:tcPr>
          <w:p>
            <w:pPr>
              <w:ind w:firstLine="400" w:firstLineChars="200"/>
              <w:rPr>
                <w:rFonts w:hint="eastAsia"/>
                <w:color w:val="auto"/>
                <w:sz w:val="20"/>
                <w:lang w:val="en-US" w:eastAsia="zh-CN"/>
              </w:rPr>
            </w:pPr>
            <w:r>
              <w:rPr>
                <w:rFonts w:hint="eastAsia"/>
                <w:color w:val="auto"/>
                <w:sz w:val="20"/>
                <w:lang w:val="en-US" w:eastAsia="zh-CN"/>
              </w:rPr>
              <w:t>提供管理评审的改进：</w:t>
            </w:r>
          </w:p>
          <w:p>
            <w:pPr>
              <w:ind w:firstLine="400" w:firstLineChars="200"/>
              <w:rPr>
                <w:rFonts w:hint="eastAsia"/>
                <w:color w:val="auto"/>
                <w:sz w:val="20"/>
                <w:lang w:val="en-US" w:eastAsia="zh-CN"/>
              </w:rPr>
            </w:pPr>
            <w:r>
              <w:rPr>
                <w:rFonts w:hint="eastAsia"/>
                <w:color w:val="auto"/>
                <w:sz w:val="20"/>
                <w:lang w:val="en-US" w:eastAsia="zh-CN"/>
              </w:rPr>
              <w:t>虽然能源管理体系得到了有效的实施与保持，能源绩效得到持续改进，但是仍然存在以下二个方面的问题，提出改进要求。</w:t>
            </w:r>
          </w:p>
          <w:p>
            <w:pPr>
              <w:ind w:firstLine="400" w:firstLineChars="200"/>
              <w:rPr>
                <w:rFonts w:hint="eastAsia"/>
                <w:color w:val="auto"/>
                <w:sz w:val="20"/>
                <w:lang w:val="en-US" w:eastAsia="zh-CN"/>
              </w:rPr>
            </w:pPr>
            <w:r>
              <w:rPr>
                <w:rFonts w:hint="eastAsia"/>
                <w:color w:val="auto"/>
                <w:sz w:val="20"/>
                <w:lang w:val="en-US" w:eastAsia="zh-CN"/>
              </w:rPr>
              <w:t>一、改进项</w:t>
            </w:r>
          </w:p>
          <w:p>
            <w:pPr>
              <w:ind w:firstLine="400" w:firstLineChars="200"/>
              <w:rPr>
                <w:rFonts w:hint="eastAsia"/>
                <w:color w:val="auto"/>
                <w:sz w:val="20"/>
                <w:lang w:val="en-US" w:eastAsia="zh-CN"/>
              </w:rPr>
            </w:pPr>
            <w:r>
              <w:rPr>
                <w:rFonts w:hint="eastAsia"/>
                <w:color w:val="auto"/>
                <w:sz w:val="20"/>
                <w:lang w:val="en-US" w:eastAsia="zh-CN"/>
              </w:rPr>
              <w:t>1、公司一线员工的能源管理意识、节能意识不足；</w:t>
            </w:r>
          </w:p>
          <w:p>
            <w:pPr>
              <w:ind w:firstLine="400" w:firstLineChars="200"/>
              <w:rPr>
                <w:rFonts w:hint="eastAsia"/>
                <w:color w:val="auto"/>
                <w:sz w:val="20"/>
                <w:lang w:val="en-US" w:eastAsia="zh-CN"/>
              </w:rPr>
            </w:pPr>
            <w:r>
              <w:rPr>
                <w:rFonts w:hint="eastAsia"/>
                <w:color w:val="auto"/>
                <w:sz w:val="20"/>
                <w:lang w:val="en-US" w:eastAsia="zh-CN"/>
              </w:rPr>
              <w:t>2、公司节能技术改造投入不足。</w:t>
            </w:r>
          </w:p>
          <w:p>
            <w:pPr>
              <w:ind w:firstLine="400" w:firstLineChars="200"/>
              <w:rPr>
                <w:rFonts w:hint="eastAsia"/>
                <w:color w:val="auto"/>
                <w:sz w:val="20"/>
                <w:lang w:val="en-US" w:eastAsia="zh-CN"/>
              </w:rPr>
            </w:pPr>
            <w:r>
              <w:rPr>
                <w:rFonts w:hint="eastAsia"/>
                <w:color w:val="auto"/>
                <w:sz w:val="20"/>
                <w:lang w:val="en-US" w:eastAsia="zh-CN"/>
              </w:rPr>
              <w:t>二、改进要求</w:t>
            </w:r>
          </w:p>
          <w:p>
            <w:pPr>
              <w:ind w:firstLine="400" w:firstLineChars="200"/>
              <w:rPr>
                <w:rFonts w:hint="eastAsia"/>
                <w:color w:val="auto"/>
                <w:sz w:val="20"/>
                <w:lang w:val="en-US" w:eastAsia="zh-CN"/>
              </w:rPr>
            </w:pPr>
            <w:r>
              <w:rPr>
                <w:rFonts w:hint="eastAsia"/>
                <w:color w:val="auto"/>
                <w:sz w:val="20"/>
                <w:lang w:val="en-US" w:eastAsia="zh-CN"/>
              </w:rPr>
              <w:t>1、加强一线员工的能源管理意识、节能意识宣贯与培训；</w:t>
            </w:r>
          </w:p>
          <w:p>
            <w:pPr>
              <w:ind w:firstLine="400" w:firstLineChars="200"/>
              <w:rPr>
                <w:rFonts w:hint="eastAsia"/>
                <w:color w:val="auto"/>
                <w:sz w:val="20"/>
                <w:lang w:val="en-US" w:eastAsia="zh-CN"/>
              </w:rPr>
            </w:pPr>
            <w:r>
              <w:rPr>
                <w:rFonts w:hint="eastAsia"/>
                <w:color w:val="auto"/>
                <w:sz w:val="20"/>
                <w:lang w:val="en-US" w:eastAsia="zh-CN"/>
              </w:rPr>
              <w:t>2、加大投入，进一步推进节能技术改造。</w:t>
            </w:r>
          </w:p>
        </w:tc>
        <w:tc>
          <w:tcPr>
            <w:tcW w:w="1213" w:type="dxa"/>
          </w:tcPr>
          <w:p>
            <w:pPr>
              <w:rPr>
                <w:rFonts w:hint="eastAsia" w:eastAsia="宋体"/>
                <w:color w:val="auto"/>
                <w:lang w:val="en-US" w:eastAsia="zh-CN"/>
              </w:rPr>
            </w:pPr>
            <w:r>
              <w:rPr>
                <w:rFonts w:hint="eastAsia"/>
                <w:color w:val="auto"/>
                <w:lang w:val="en-US" w:eastAsia="zh-CN"/>
              </w:rPr>
              <w:t>Y</w:t>
            </w:r>
          </w:p>
        </w:tc>
      </w:tr>
    </w:tbl>
    <w:p>
      <w:pPr>
        <w:pStyle w:val="4"/>
        <w:rPr>
          <w:rFonts w:hint="eastAsia"/>
          <w:color w:val="auto"/>
        </w:rPr>
      </w:pPr>
      <w:r>
        <w:rPr>
          <w:rFonts w:hint="eastAsia"/>
          <w:color w:val="auto"/>
        </w:rPr>
        <w:t>说明：不符合标注N</w:t>
      </w: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jc w:val="center"/>
              <w:rPr>
                <w:color w:val="auto"/>
                <w:sz w:val="24"/>
                <w:szCs w:val="24"/>
              </w:rPr>
            </w:pPr>
            <w:r>
              <w:rPr>
                <w:rFonts w:hint="eastAsia"/>
                <w:color w:val="auto"/>
                <w:sz w:val="24"/>
                <w:szCs w:val="24"/>
              </w:rPr>
              <w:t>涉及</w:t>
            </w:r>
          </w:p>
          <w:p>
            <w:pPr>
              <w:jc w:val="center"/>
              <w:rPr>
                <w:color w:val="auto"/>
              </w:rPr>
            </w:pPr>
            <w:r>
              <w:rPr>
                <w:rFonts w:hint="eastAsia"/>
                <w:color w:val="auto"/>
                <w:sz w:val="24"/>
                <w:szCs w:val="24"/>
              </w:rPr>
              <w:t>条款</w:t>
            </w:r>
          </w:p>
        </w:tc>
        <w:tc>
          <w:tcPr>
            <w:tcW w:w="10376" w:type="dxa"/>
            <w:vAlign w:val="center"/>
          </w:tcPr>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受审核部门：</w:t>
            </w:r>
            <w:r>
              <w:rPr>
                <w:rFonts w:hint="eastAsia" w:ascii="宋体" w:hAnsi="宋体" w:cs="Times New Roman"/>
                <w:color w:val="auto"/>
                <w:sz w:val="21"/>
                <w:szCs w:val="21"/>
                <w:lang w:val="en-US" w:eastAsia="zh-CN"/>
              </w:rPr>
              <w:t>综合部</w:t>
            </w:r>
            <w:r>
              <w:rPr>
                <w:rFonts w:hint="eastAsia" w:ascii="宋体" w:hAnsi="宋体" w:eastAsia="宋体" w:cs="Times New Roman"/>
                <w:color w:val="auto"/>
                <w:sz w:val="21"/>
                <w:szCs w:val="21"/>
              </w:rPr>
              <w:t xml:space="preserve">    主管领导：</w:t>
            </w:r>
            <w:r>
              <w:rPr>
                <w:rFonts w:hint="eastAsia" w:ascii="宋体" w:hAnsi="宋体" w:cs="Times New Roman"/>
                <w:color w:val="auto"/>
                <w:sz w:val="21"/>
                <w:szCs w:val="21"/>
                <w:lang w:val="en-US" w:eastAsia="zh-CN"/>
              </w:rPr>
              <w:t>曹俊萍</w:t>
            </w:r>
            <w:r>
              <w:rPr>
                <w:rFonts w:hint="eastAsia" w:ascii="宋体" w:hAnsi="宋体" w:eastAsia="宋体" w:cs="Times New Roman"/>
                <w:color w:val="auto"/>
                <w:sz w:val="21"/>
                <w:szCs w:val="21"/>
              </w:rPr>
              <w:t xml:space="preserve">    </w:t>
            </w:r>
            <w:r>
              <w:rPr>
                <w:rFonts w:hint="eastAsia"/>
                <w:color w:val="auto"/>
                <w:szCs w:val="21"/>
              </w:rPr>
              <w:t>陪同人员：</w:t>
            </w:r>
            <w:r>
              <w:rPr>
                <w:rFonts w:hint="eastAsia"/>
                <w:color w:val="auto"/>
                <w:szCs w:val="21"/>
                <w:lang w:val="en-US" w:eastAsia="zh-CN"/>
              </w:rPr>
              <w:t>魏凤麟</w:t>
            </w:r>
          </w:p>
        </w:tc>
        <w:tc>
          <w:tcPr>
            <w:tcW w:w="1213" w:type="dxa"/>
            <w:vMerge w:val="restart"/>
            <w:vAlign w:val="center"/>
          </w:tcPr>
          <w:p>
            <w:pPr>
              <w:jc w:val="cente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default" w:ascii="宋体" w:hAnsi="宋体" w:eastAsia="宋体" w:cs="Times New Roman"/>
                <w:color w:val="auto"/>
                <w:sz w:val="21"/>
                <w:szCs w:val="21"/>
                <w:lang w:val="en-US"/>
              </w:rPr>
            </w:pPr>
            <w:r>
              <w:rPr>
                <w:rFonts w:hint="eastAsia" w:ascii="宋体" w:hAnsi="宋体" w:eastAsia="宋体" w:cs="Times New Roman"/>
                <w:color w:val="auto"/>
                <w:sz w:val="21"/>
                <w:szCs w:val="21"/>
              </w:rPr>
              <w:t>审核员：</w:t>
            </w:r>
            <w:r>
              <w:rPr>
                <w:rFonts w:hint="eastAsia" w:ascii="宋体" w:hAnsi="宋体" w:eastAsia="宋体" w:cs="Times New Roman"/>
                <w:color w:val="auto"/>
                <w:sz w:val="21"/>
                <w:szCs w:val="21"/>
                <w:lang w:val="en-US" w:eastAsia="zh-CN"/>
              </w:rPr>
              <w:t>王宁敏</w:t>
            </w:r>
            <w:r>
              <w:rPr>
                <w:rFonts w:hint="eastAsia" w:ascii="宋体" w:hAnsi="宋体" w:eastAsia="宋体" w:cs="Times New Roman"/>
                <w:color w:val="auto"/>
                <w:sz w:val="21"/>
                <w:szCs w:val="21"/>
              </w:rPr>
              <w:t xml:space="preserve"> （远程微信群、电话、视频等） 审核时间：</w:t>
            </w:r>
            <w:r>
              <w:rPr>
                <w:rFonts w:hint="eastAsia" w:ascii="宋体" w:hAnsi="宋体" w:eastAsia="宋体" w:cs="Times New Roman"/>
                <w:color w:val="auto"/>
                <w:sz w:val="21"/>
                <w:szCs w:val="21"/>
                <w:lang w:val="en-US" w:eastAsia="zh-CN"/>
              </w:rPr>
              <w:t>2022-</w:t>
            </w:r>
            <w:r>
              <w:rPr>
                <w:rFonts w:hint="eastAsia" w:ascii="宋体" w:hAnsi="宋体" w:cs="Times New Roman"/>
                <w:color w:val="auto"/>
                <w:sz w:val="21"/>
                <w:szCs w:val="21"/>
                <w:lang w:val="en-US" w:eastAsia="zh-CN"/>
              </w:rPr>
              <w:t>10</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18</w:t>
            </w:r>
            <w:r>
              <w:rPr>
                <w:rFonts w:hint="eastAsia" w:ascii="宋体" w:hAnsi="宋体" w:eastAsia="宋体" w:cs="Times New Roman"/>
                <w:color w:val="auto"/>
                <w:sz w:val="21"/>
                <w:szCs w:val="21"/>
                <w:lang w:val="en-US" w:eastAsia="zh-CN"/>
              </w:rPr>
              <w:t xml:space="preserve"> 1</w:t>
            </w:r>
            <w:r>
              <w:rPr>
                <w:rFonts w:hint="eastAsia" w:ascii="宋体" w:hAnsi="宋体" w:cs="Times New Roman"/>
                <w:color w:val="auto"/>
                <w:sz w:val="21"/>
                <w:szCs w:val="21"/>
                <w:lang w:val="en-US" w:eastAsia="zh-CN"/>
              </w:rPr>
              <w:t>3</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0</w:t>
            </w:r>
            <w:r>
              <w:rPr>
                <w:rFonts w:hint="eastAsia" w:ascii="宋体" w:hAnsi="宋体" w:eastAsia="宋体" w:cs="Times New Roman"/>
                <w:color w:val="auto"/>
                <w:sz w:val="21"/>
                <w:szCs w:val="21"/>
                <w:lang w:val="en-US" w:eastAsia="zh-CN"/>
              </w:rPr>
              <w:t>0-1</w:t>
            </w:r>
            <w:r>
              <w:rPr>
                <w:rFonts w:hint="eastAsia" w:ascii="宋体" w:hAnsi="宋体" w:cs="Times New Roman"/>
                <w:color w:val="auto"/>
                <w:sz w:val="21"/>
                <w:szCs w:val="21"/>
                <w:lang w:val="en-US" w:eastAsia="zh-CN"/>
              </w:rPr>
              <w:t>7</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3</w:t>
            </w:r>
            <w:r>
              <w:rPr>
                <w:rFonts w:hint="eastAsia" w:ascii="宋体" w:hAnsi="宋体" w:eastAsia="宋体" w:cs="Times New Roman"/>
                <w:color w:val="auto"/>
                <w:sz w:val="21"/>
                <w:szCs w:val="21"/>
                <w:lang w:val="en-US" w:eastAsia="zh-CN"/>
              </w:rPr>
              <w:t>0</w:t>
            </w:r>
            <w:r>
              <w:rPr>
                <w:rFonts w:hint="eastAsia" w:ascii="宋体" w:hAnsi="宋体" w:cs="Times New Roman"/>
                <w:color w:val="auto"/>
                <w:sz w:val="21"/>
                <w:szCs w:val="21"/>
                <w:lang w:val="en-US" w:eastAsia="zh-CN"/>
              </w:rPr>
              <w:t xml:space="preserve"> 10-19 8:00-12:00</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76" w:type="dxa"/>
            <w:vAlign w:val="center"/>
          </w:tcPr>
          <w:p>
            <w:pP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rPr>
              <w:t>审核条款：5.3 组织的岗位、职责和权限、6.2 目标、能源指及其实现的策划、7.2 能力、7.3 意识、7.4沟通交流、</w:t>
            </w:r>
            <w:r>
              <w:rPr>
                <w:rFonts w:hint="eastAsia" w:ascii="宋体" w:hAnsi="宋体" w:cs="Times New Roman"/>
                <w:color w:val="auto"/>
                <w:sz w:val="21"/>
                <w:szCs w:val="21"/>
                <w:lang w:val="en-US" w:eastAsia="zh-CN"/>
              </w:rPr>
              <w:t>7.5文件控制、</w:t>
            </w:r>
            <w:r>
              <w:rPr>
                <w:rFonts w:hint="eastAsia" w:ascii="宋体" w:hAnsi="宋体" w:eastAsia="宋体" w:cs="Times New Roman"/>
                <w:color w:val="auto"/>
                <w:sz w:val="21"/>
                <w:szCs w:val="21"/>
              </w:rPr>
              <w:t>8.1 运行的策划和控制、</w:t>
            </w:r>
            <w:r>
              <w:rPr>
                <w:rFonts w:hint="eastAsia" w:ascii="宋体" w:hAnsi="宋体" w:cs="Times New Roman"/>
                <w:color w:val="auto"/>
                <w:sz w:val="21"/>
                <w:szCs w:val="21"/>
                <w:lang w:val="en-US" w:eastAsia="zh-CN"/>
              </w:rPr>
              <w:t>9.2内部审核、</w:t>
            </w:r>
            <w:r>
              <w:rPr>
                <w:rFonts w:hint="eastAsia" w:ascii="宋体" w:hAnsi="宋体" w:eastAsia="宋体" w:cs="Times New Roman"/>
                <w:color w:val="auto"/>
                <w:sz w:val="21"/>
                <w:szCs w:val="21"/>
              </w:rPr>
              <w:t>10.1不符合与纠正措施</w:t>
            </w:r>
            <w:r>
              <w:rPr>
                <w:rFonts w:hint="eastAsia" w:ascii="宋体" w:hAnsi="宋体" w:eastAsia="宋体" w:cs="Times New Roman"/>
                <w:color w:val="auto"/>
                <w:sz w:val="21"/>
                <w:szCs w:val="21"/>
                <w:lang w:eastAsia="zh-CN"/>
              </w:rPr>
              <w:t>。</w:t>
            </w:r>
          </w:p>
          <w:p>
            <w:pPr>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eastAsia="zh-CN"/>
              </w:rPr>
              <w:t>EnMS:5.3/6.2/7.2/7.3/7.4/7.5/8.1/9.2/10.1</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3" w:hRule="atLeast"/>
        </w:trPr>
        <w:tc>
          <w:tcPr>
            <w:tcW w:w="2160" w:type="dxa"/>
          </w:tcPr>
          <w:p>
            <w:pPr>
              <w:rPr>
                <w:rFonts w:hint="eastAsia"/>
                <w:color w:val="auto"/>
              </w:rPr>
            </w:pPr>
            <w:r>
              <w:rPr>
                <w:rFonts w:hint="eastAsia"/>
                <w:color w:val="auto"/>
              </w:rPr>
              <w:t>1.</w:t>
            </w:r>
            <w:r>
              <w:rPr>
                <w:rFonts w:hint="eastAsia"/>
                <w:color w:val="auto"/>
                <w:lang w:val="en-US" w:eastAsia="zh-CN"/>
              </w:rPr>
              <w:t>能源</w:t>
            </w:r>
            <w:r>
              <w:rPr>
                <w:rFonts w:hint="eastAsia"/>
                <w:color w:val="auto"/>
              </w:rPr>
              <w:t>职责、</w:t>
            </w:r>
            <w:r>
              <w:rPr>
                <w:rFonts w:hint="eastAsia"/>
                <w:color w:val="auto"/>
                <w:lang w:val="en-US" w:eastAsia="zh-CN"/>
              </w:rPr>
              <w:t>能源</w:t>
            </w:r>
            <w:r>
              <w:rPr>
                <w:rFonts w:hint="eastAsia"/>
                <w:color w:val="auto"/>
              </w:rPr>
              <w:t>管理目标及实现措施策划适宜性，履行职责和目标实现情况；</w:t>
            </w:r>
          </w:p>
          <w:p>
            <w:pPr>
              <w:pStyle w:val="6"/>
              <w:rPr>
                <w:color w:val="auto"/>
              </w:rPr>
            </w:pPr>
          </w:p>
        </w:tc>
        <w:tc>
          <w:tcPr>
            <w:tcW w:w="960" w:type="dxa"/>
          </w:tcPr>
          <w:p>
            <w:pPr>
              <w:rPr>
                <w:color w:val="auto"/>
              </w:rPr>
            </w:pPr>
            <w:r>
              <w:rPr>
                <w:rFonts w:hint="eastAsia" w:ascii="宋体" w:hAnsi="宋体" w:eastAsia="宋体" w:cs="Times New Roman"/>
                <w:color w:val="auto"/>
                <w:sz w:val="21"/>
                <w:szCs w:val="21"/>
              </w:rPr>
              <w:t>5.3</w:t>
            </w:r>
            <w:r>
              <w:rPr>
                <w:rFonts w:hint="eastAsia" w:ascii="宋体" w:hAnsi="宋体" w:eastAsia="宋体" w:cs="Times New Roman"/>
                <w:color w:val="auto"/>
                <w:sz w:val="21"/>
                <w:szCs w:val="21"/>
                <w:lang w:val="en-US" w:eastAsia="zh-CN"/>
              </w:rPr>
              <w:t>/</w:t>
            </w:r>
            <w:r>
              <w:rPr>
                <w:rFonts w:hint="eastAsia" w:ascii="宋体" w:hAnsi="宋体" w:eastAsia="宋体" w:cs="Times New Roman"/>
                <w:color w:val="auto"/>
                <w:sz w:val="21"/>
                <w:szCs w:val="21"/>
              </w:rPr>
              <w:t>6.2</w:t>
            </w:r>
          </w:p>
        </w:tc>
        <w:tc>
          <w:tcPr>
            <w:tcW w:w="10376" w:type="dxa"/>
          </w:tcPr>
          <w:p>
            <w:pPr>
              <w:ind w:firstLine="420" w:firstLineChars="200"/>
              <w:rPr>
                <w:rFonts w:hint="eastAsia"/>
                <w:color w:val="auto"/>
                <w:szCs w:val="22"/>
                <w:lang w:val="en-US" w:eastAsia="zh-CN"/>
              </w:rPr>
            </w:pPr>
            <w:r>
              <w:rPr>
                <w:rFonts w:hint="eastAsia"/>
                <w:color w:val="auto"/>
                <w:lang w:val="en-US" w:eastAsia="zh-CN"/>
              </w:rPr>
              <w:t>1.综合管理部：领导：</w:t>
            </w:r>
            <w:r>
              <w:rPr>
                <w:rFonts w:hint="eastAsia"/>
                <w:color w:val="auto"/>
                <w:szCs w:val="22"/>
                <w:lang w:val="en-US" w:eastAsia="zh-CN"/>
              </w:rPr>
              <w:t xml:space="preserve">曹俊萍 </w:t>
            </w:r>
            <w:r>
              <w:rPr>
                <w:rFonts w:hint="eastAsia"/>
                <w:color w:val="auto"/>
                <w:lang w:val="en-US" w:eastAsia="zh-CN"/>
              </w:rPr>
              <w:t>，共3人；部门及岗位：经理、专员、文员</w:t>
            </w:r>
            <w:r>
              <w:rPr>
                <w:rFonts w:hint="eastAsia"/>
                <w:color w:val="auto"/>
                <w:szCs w:val="22"/>
                <w:lang w:val="en-US" w:eastAsia="zh-CN"/>
              </w:rPr>
              <w:t>。</w:t>
            </w:r>
          </w:p>
          <w:p>
            <w:pPr>
              <w:numPr>
                <w:ilvl w:val="0"/>
                <w:numId w:val="0"/>
              </w:numPr>
              <w:rPr>
                <w:rFonts w:hint="default"/>
                <w:color w:val="auto"/>
                <w:lang w:val="en-US" w:eastAsia="zh-CN"/>
              </w:rPr>
            </w:pPr>
            <w:r>
              <w:rPr>
                <w:rFonts w:hint="eastAsia"/>
                <w:color w:val="auto"/>
                <w:szCs w:val="22"/>
                <w:lang w:val="en-US" w:eastAsia="zh-CN"/>
              </w:rPr>
              <w:t>本部门的能源职责：1.负责公司后勤、环境管理；2.负责公司公共关系、档案管理；3.负责本部门节能基础设施和工作环境的管理；4.负责贯彻执行和落实能源管理方针、管理目标、指标和体系文件，参与有关能源管理体系的重大问题决策；5.负责管理评审的组织工作，收集并提供管理评审所需的资料；6.定期收集相关外部法律、法规；负责展开合规性评价，风险管理；安排展开纠正预防行动；7.协助副总经理、管理代表处理各管理体系外部认证、审查，业务联络等事宜；8.协助配合客户、认证机构展开外部审核工作，并进行总结，审核结果汇报，展开纠正预防事项，并进行结果跟踪，效果确认，回复客户、认证机构。9.内审小组计划的制定；小组成员工作辅导、人员培训，负责协助培训、改善事务；10.负责人力资源的配置工作等18项。符合部门实际，符合标准要求。</w:t>
            </w:r>
          </w:p>
          <w:p>
            <w:pPr>
              <w:pStyle w:val="6"/>
              <w:rPr>
                <w:rFonts w:hint="eastAsia"/>
                <w:color w:val="auto"/>
                <w:lang w:val="en-US" w:eastAsia="zh-CN"/>
              </w:rPr>
            </w:pPr>
            <w:r>
              <w:rPr>
                <w:rFonts w:hint="eastAsia"/>
                <w:color w:val="auto"/>
                <w:szCs w:val="22"/>
                <w:lang w:val="en-US" w:eastAsia="zh-CN"/>
              </w:rPr>
              <w:t>2.提供2021年、2022年综合管理部能源管理目标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drawing>
                <wp:inline distT="0" distB="0" distL="114300" distR="114300">
                  <wp:extent cx="5794375" cy="1546860"/>
                  <wp:effectExtent l="0" t="0" r="9525"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794375" cy="1546860"/>
                          </a:xfrm>
                          <a:prstGeom prst="rect">
                            <a:avLst/>
                          </a:prstGeom>
                          <a:noFill/>
                          <a:ln>
                            <a:noFill/>
                          </a:ln>
                        </pic:spPr>
                      </pic:pic>
                    </a:graphicData>
                  </a:graphic>
                </wp:inline>
              </w:drawing>
            </w:r>
          </w:p>
          <w:p>
            <w:pPr>
              <w:pStyle w:val="6"/>
              <w:numPr>
                <w:ilvl w:val="0"/>
                <w:numId w:val="0"/>
              </w:numPr>
              <w:ind w:firstLine="420" w:firstLineChars="200"/>
              <w:rPr>
                <w:rFonts w:hint="eastAsia"/>
                <w:color w:val="auto"/>
                <w:lang w:val="en-US" w:eastAsia="zh-CN"/>
              </w:rPr>
            </w:pPr>
            <w:r>
              <w:rPr>
                <w:rFonts w:hint="eastAsia"/>
                <w:color w:val="auto"/>
                <w:lang w:val="en-US" w:eastAsia="zh-CN"/>
              </w:rPr>
              <w:t>3.查阅公司对2021年、2022-1-9月的能源的完成值，全部完成。</w:t>
            </w:r>
          </w:p>
          <w:p>
            <w:pPr>
              <w:pStyle w:val="6"/>
              <w:numPr>
                <w:ilvl w:val="0"/>
                <w:numId w:val="0"/>
              </w:numPr>
              <w:jc w:val="center"/>
              <w:rPr>
                <w:rFonts w:hint="default"/>
                <w:color w:val="auto"/>
                <w:szCs w:val="22"/>
                <w:lang w:val="en-US" w:eastAsia="zh-CN"/>
              </w:rPr>
            </w:pPr>
          </w:p>
        </w:tc>
        <w:tc>
          <w:tcPr>
            <w:tcW w:w="1213" w:type="dxa"/>
          </w:tcPr>
          <w:p>
            <w:pPr>
              <w:rPr>
                <w:rFonts w:hint="default"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color w:val="auto"/>
              </w:rPr>
            </w:pPr>
            <w:r>
              <w:rPr>
                <w:rFonts w:hint="eastAsia" w:ascii="宋体" w:hAnsi="宋体" w:eastAsia="宋体" w:cs="Times New Roman"/>
                <w:color w:val="auto"/>
                <w:sz w:val="21"/>
                <w:szCs w:val="21"/>
              </w:rPr>
              <w:t>2.</w:t>
            </w:r>
            <w:r>
              <w:rPr>
                <w:rFonts w:hint="eastAsia" w:ascii="宋体" w:hAnsi="宋体" w:eastAsia="宋体" w:cs="Times New Roman"/>
                <w:color w:val="auto"/>
                <w:sz w:val="21"/>
                <w:szCs w:val="21"/>
                <w:lang w:val="en-US" w:eastAsia="zh-CN"/>
              </w:rPr>
              <w:t>查员工</w:t>
            </w:r>
            <w:r>
              <w:rPr>
                <w:rFonts w:hint="eastAsia" w:ascii="宋体" w:hAnsi="宋体" w:eastAsia="宋体" w:cs="Times New Roman"/>
                <w:color w:val="auto"/>
                <w:sz w:val="21"/>
                <w:szCs w:val="21"/>
              </w:rPr>
              <w:t>的能力、意识及培训策划与实施</w:t>
            </w:r>
            <w:r>
              <w:rPr>
                <w:rFonts w:hint="eastAsia" w:ascii="宋体" w:hAnsi="宋体" w:eastAsia="宋体" w:cs="Times New Roman"/>
                <w:color w:val="auto"/>
                <w:sz w:val="21"/>
                <w:szCs w:val="21"/>
                <w:lang w:val="en-US" w:eastAsia="zh-CN"/>
              </w:rPr>
              <w:t>效果</w:t>
            </w:r>
            <w:r>
              <w:rPr>
                <w:rFonts w:hint="eastAsia" w:ascii="宋体" w:hAnsi="宋体" w:cs="Times New Roman"/>
                <w:color w:val="auto"/>
                <w:sz w:val="21"/>
                <w:szCs w:val="21"/>
                <w:lang w:val="en-US" w:eastAsia="zh-CN"/>
              </w:rPr>
              <w:t>，沟通</w:t>
            </w:r>
            <w:r>
              <w:rPr>
                <w:rFonts w:hint="eastAsia" w:ascii="宋体" w:hAnsi="宋体" w:eastAsia="宋体" w:cs="Times New Roman"/>
                <w:color w:val="auto"/>
                <w:sz w:val="21"/>
                <w:szCs w:val="21"/>
                <w:lang w:eastAsia="zh-CN"/>
              </w:rPr>
              <w:t>；</w:t>
            </w:r>
          </w:p>
        </w:tc>
        <w:tc>
          <w:tcPr>
            <w:tcW w:w="960" w:type="dxa"/>
          </w:tcPr>
          <w:p>
            <w:pPr>
              <w:rPr>
                <w:rFonts w:hint="eastAsia"/>
                <w:color w:val="auto"/>
              </w:rPr>
            </w:pPr>
            <w:r>
              <w:rPr>
                <w:rFonts w:hint="eastAsia"/>
                <w:color w:val="auto"/>
              </w:rPr>
              <w:t>7.2</w:t>
            </w:r>
            <w:r>
              <w:rPr>
                <w:rFonts w:hint="eastAsia"/>
                <w:color w:val="auto"/>
                <w:lang w:val="en-US" w:eastAsia="zh-CN"/>
              </w:rPr>
              <w:t>/</w:t>
            </w:r>
            <w:r>
              <w:rPr>
                <w:rFonts w:hint="eastAsia"/>
                <w:color w:val="auto"/>
              </w:rPr>
              <w:t>7.3</w:t>
            </w:r>
          </w:p>
          <w:p>
            <w:pPr>
              <w:pStyle w:val="6"/>
              <w:ind w:left="0" w:leftChars="0" w:firstLine="0" w:firstLineChars="0"/>
              <w:rPr>
                <w:rFonts w:hint="default" w:eastAsia="宋体"/>
                <w:color w:val="auto"/>
                <w:lang w:val="en-US" w:eastAsia="zh-CN"/>
              </w:rPr>
            </w:pPr>
            <w:r>
              <w:rPr>
                <w:rFonts w:hint="eastAsia" w:ascii="宋体" w:hAnsi="宋体" w:cs="Times New Roman"/>
                <w:color w:val="auto"/>
                <w:sz w:val="21"/>
                <w:szCs w:val="21"/>
                <w:lang w:val="en-US" w:eastAsia="zh-CN"/>
              </w:rPr>
              <w:t>7</w:t>
            </w:r>
            <w:r>
              <w:rPr>
                <w:rFonts w:hint="eastAsia"/>
                <w:color w:val="auto"/>
              </w:rPr>
              <w:t>.</w:t>
            </w:r>
            <w:r>
              <w:rPr>
                <w:rFonts w:hint="eastAsia" w:ascii="宋体" w:hAnsi="宋体" w:cs="Times New Roman"/>
                <w:color w:val="auto"/>
                <w:sz w:val="21"/>
                <w:szCs w:val="21"/>
                <w:lang w:val="en-US" w:eastAsia="zh-CN"/>
              </w:rPr>
              <w:t>4</w:t>
            </w:r>
          </w:p>
        </w:tc>
        <w:tc>
          <w:tcPr>
            <w:tcW w:w="10376" w:type="dxa"/>
          </w:tcPr>
          <w:p>
            <w:pPr>
              <w:numPr>
                <w:ilvl w:val="0"/>
                <w:numId w:val="1"/>
              </w:numPr>
              <w:ind w:firstLine="420"/>
              <w:rPr>
                <w:rFonts w:hint="eastAsia"/>
                <w:color w:val="auto"/>
                <w:lang w:val="en-US" w:eastAsia="zh-CN"/>
              </w:rPr>
            </w:pPr>
            <w:r>
              <w:rPr>
                <w:rFonts w:hint="eastAsia"/>
                <w:color w:val="auto"/>
                <w:lang w:val="en-US" w:eastAsia="zh-CN"/>
              </w:rPr>
              <w:t>查阅文件</w:t>
            </w:r>
          </w:p>
          <w:p>
            <w:pPr>
              <w:numPr>
                <w:ilvl w:val="0"/>
                <w:numId w:val="0"/>
              </w:numPr>
              <w:ind w:firstLine="420" w:firstLineChars="200"/>
              <w:rPr>
                <w:rFonts w:hint="eastAsia"/>
                <w:color w:val="auto"/>
              </w:rPr>
            </w:pPr>
            <w:r>
              <w:rPr>
                <w:rFonts w:hint="eastAsia"/>
                <w:color w:val="auto"/>
              </w:rPr>
              <w:t>策划编制有</w:t>
            </w:r>
            <w:r>
              <w:rPr>
                <w:rFonts w:hint="eastAsia"/>
                <w:color w:val="auto"/>
                <w:lang w:eastAsia="zh-CN"/>
              </w:rPr>
              <w:t>《CDGD/EnMS-CX-15-2021能力、培训和意识控制程序》《CDGD/EnMS-CX-05-2021信息沟通程序》</w:t>
            </w:r>
            <w:r>
              <w:rPr>
                <w:rFonts w:hint="eastAsia"/>
                <w:color w:val="auto"/>
                <w:lang w:val="en-US" w:eastAsia="zh-CN"/>
              </w:rPr>
              <w:t xml:space="preserve">《CDGD/EnMS-CX-19-2021运行过程控制程序 </w:t>
            </w:r>
            <w:r>
              <w:rPr>
                <w:rFonts w:hint="eastAsia"/>
                <w:color w:val="auto"/>
                <w:lang w:eastAsia="zh-CN"/>
              </w:rPr>
              <w:t>》，《</w:t>
            </w:r>
            <w:r>
              <w:rPr>
                <w:rFonts w:hint="eastAsia"/>
                <w:color w:val="auto"/>
                <w:lang w:val="en-US" w:eastAsia="zh-CN"/>
              </w:rPr>
              <w:t>管理制度</w:t>
            </w:r>
            <w:r>
              <w:rPr>
                <w:rFonts w:hint="eastAsia"/>
                <w:color w:val="auto"/>
                <w:lang w:eastAsia="zh-CN"/>
              </w:rPr>
              <w:t>》</w:t>
            </w:r>
            <w:r>
              <w:rPr>
                <w:rFonts w:hint="eastAsia"/>
                <w:color w:val="auto"/>
                <w:lang w:val="en-US" w:eastAsia="zh-CN"/>
              </w:rPr>
              <w:t>类文件，分三章节（管理总则、人事、行政）</w:t>
            </w:r>
            <w:r>
              <w:rPr>
                <w:rFonts w:hint="eastAsia"/>
                <w:color w:val="auto"/>
                <w:lang w:eastAsia="zh-CN"/>
              </w:rPr>
              <w:t>等</w:t>
            </w:r>
            <w:r>
              <w:rPr>
                <w:rFonts w:hint="eastAsia"/>
                <w:color w:val="auto"/>
                <w:lang w:val="en-US" w:eastAsia="zh-CN"/>
              </w:rPr>
              <w:t>共20个</w:t>
            </w:r>
            <w:r>
              <w:rPr>
                <w:rFonts w:hint="eastAsia"/>
                <w:color w:val="auto"/>
                <w:lang w:eastAsia="zh-CN"/>
              </w:rPr>
              <w:t>，有发布，实施。有编审批。确保了其适宜性和充分性。</w:t>
            </w:r>
            <w:r>
              <w:rPr>
                <w:rFonts w:hint="eastAsia"/>
                <w:color w:val="auto"/>
                <w:lang w:val="en-US" w:eastAsia="zh-CN"/>
              </w:rPr>
              <w:t>并且在《能源手册》7.2、7.3、7.4条款中</w:t>
            </w:r>
            <w:r>
              <w:rPr>
                <w:rFonts w:hint="eastAsia"/>
                <w:color w:val="auto"/>
              </w:rPr>
              <w:t>内容规定了</w:t>
            </w:r>
            <w:r>
              <w:rPr>
                <w:rFonts w:hint="eastAsia"/>
                <w:color w:val="auto"/>
                <w:lang w:val="en-US" w:eastAsia="zh-CN"/>
              </w:rPr>
              <w:t>综合</w:t>
            </w:r>
            <w:r>
              <w:rPr>
                <w:rFonts w:hint="eastAsia"/>
                <w:color w:val="auto"/>
              </w:rPr>
              <w:t>部应组织确定与能源绩效和能源管理体系具有影响的人员必备的基本能力要求。</w:t>
            </w:r>
          </w:p>
          <w:p>
            <w:pPr>
              <w:ind w:firstLine="420"/>
              <w:rPr>
                <w:rFonts w:hint="default"/>
                <w:color w:val="auto"/>
                <w:lang w:val="en-US" w:eastAsia="zh-CN"/>
              </w:rPr>
            </w:pPr>
            <w:r>
              <w:rPr>
                <w:rFonts w:hint="eastAsia"/>
                <w:color w:val="auto"/>
                <w:lang w:val="en-US" w:eastAsia="zh-CN"/>
              </w:rPr>
              <w:t>在能力方面：</w:t>
            </w:r>
          </w:p>
          <w:p>
            <w:pPr>
              <w:ind w:firstLine="420"/>
              <w:rPr>
                <w:rFonts w:hint="eastAsia"/>
                <w:color w:val="auto"/>
                <w:lang w:val="en-US" w:eastAsia="zh-CN"/>
              </w:rPr>
            </w:pPr>
            <w:r>
              <w:rPr>
                <w:rFonts w:hint="eastAsia"/>
                <w:color w:val="auto"/>
                <w:lang w:val="en-US" w:eastAsia="zh-CN"/>
              </w:rPr>
              <w:t xml:space="preserve">a)确定在组织控制下从事影响能源绩效和能源管理体系的人员所必要的能力； </w:t>
            </w:r>
          </w:p>
          <w:p>
            <w:pPr>
              <w:ind w:firstLine="420"/>
              <w:rPr>
                <w:rFonts w:hint="eastAsia"/>
                <w:color w:val="auto"/>
                <w:lang w:val="en-US" w:eastAsia="zh-CN"/>
              </w:rPr>
            </w:pPr>
            <w:r>
              <w:rPr>
                <w:rFonts w:hint="eastAsia"/>
                <w:color w:val="auto"/>
                <w:lang w:val="en-US" w:eastAsia="zh-CN"/>
              </w:rPr>
              <w:t xml:space="preserve">b)基于适当的教育、培训、技能和经验，确保这些人员是胜任的； </w:t>
            </w:r>
          </w:p>
          <w:p>
            <w:pPr>
              <w:ind w:firstLine="420"/>
              <w:rPr>
                <w:rFonts w:hint="eastAsia"/>
                <w:color w:val="auto"/>
                <w:lang w:val="en-US" w:eastAsia="zh-CN"/>
              </w:rPr>
            </w:pPr>
            <w:r>
              <w:rPr>
                <w:rFonts w:hint="eastAsia"/>
                <w:color w:val="auto"/>
                <w:lang w:val="en-US" w:eastAsia="zh-CN"/>
              </w:rPr>
              <w:t>c)采取措施以获取必要的能力，并评价这些措施的有效性；这些措施可包括，例如提供培训、辅导、重新分配任务、招聘胜任的人员等。</w:t>
            </w:r>
          </w:p>
          <w:p>
            <w:pPr>
              <w:ind w:firstLine="420"/>
              <w:rPr>
                <w:rFonts w:hint="eastAsia"/>
                <w:color w:val="auto"/>
              </w:rPr>
            </w:pPr>
            <w:r>
              <w:rPr>
                <w:rFonts w:hint="eastAsia"/>
                <w:color w:val="auto"/>
                <w:lang w:val="en-US" w:eastAsia="zh-CN"/>
              </w:rPr>
              <w:t>d)保持形成文件的信息，以提供能力的证据。</w:t>
            </w:r>
          </w:p>
          <w:p>
            <w:pPr>
              <w:ind w:firstLine="420"/>
              <w:rPr>
                <w:rFonts w:hint="eastAsia"/>
                <w:color w:val="auto"/>
                <w:lang w:val="en-US" w:eastAsia="zh-CN"/>
              </w:rPr>
            </w:pPr>
            <w:r>
              <w:rPr>
                <w:rFonts w:hint="eastAsia"/>
                <w:color w:val="auto"/>
                <w:lang w:val="en-US" w:eastAsia="zh-CN"/>
              </w:rPr>
              <w:t>在</w:t>
            </w:r>
            <w:r>
              <w:rPr>
                <w:rFonts w:hint="eastAsia"/>
                <w:color w:val="auto"/>
              </w:rPr>
              <w:t>意识</w:t>
            </w:r>
            <w:r>
              <w:rPr>
                <w:rFonts w:hint="eastAsia"/>
                <w:color w:val="auto"/>
                <w:lang w:val="en-US" w:eastAsia="zh-CN"/>
              </w:rPr>
              <w:t>方面：</w:t>
            </w:r>
          </w:p>
          <w:p>
            <w:pPr>
              <w:ind w:firstLine="420"/>
              <w:rPr>
                <w:rFonts w:hint="eastAsia"/>
                <w:color w:val="auto"/>
              </w:rPr>
            </w:pPr>
            <w:r>
              <w:rPr>
                <w:rFonts w:hint="eastAsia"/>
                <w:color w:val="auto"/>
                <w:lang w:val="en-US" w:eastAsia="zh-CN"/>
              </w:rPr>
              <w:t>公司通过教育培训、公开宣传、设定岗位职责等措施，使公司的全体工作人员均要意识到能源方针、目标、指标；他们对管理体系有效性的贡献，包括改进的益处；偏离管理体系要求的后果</w:t>
            </w:r>
            <w:r>
              <w:rPr>
                <w:rFonts w:hint="eastAsia"/>
                <w:color w:val="auto"/>
              </w:rPr>
              <w:t>。</w:t>
            </w:r>
          </w:p>
          <w:p>
            <w:pPr>
              <w:ind w:firstLine="420" w:firstLineChars="200"/>
              <w:rPr>
                <w:rFonts w:hint="eastAsia"/>
                <w:color w:val="auto"/>
                <w:lang w:val="en-US" w:eastAsia="zh-CN"/>
              </w:rPr>
            </w:pPr>
            <w:r>
              <w:rPr>
                <w:rFonts w:hint="eastAsia"/>
                <w:color w:val="auto"/>
                <w:lang w:val="en-US" w:eastAsia="zh-CN"/>
              </w:rPr>
              <w:t>在沟通方面：</w:t>
            </w:r>
          </w:p>
          <w:p>
            <w:pPr>
              <w:ind w:firstLine="420" w:firstLineChars="200"/>
              <w:rPr>
                <w:rFonts w:hint="eastAsia"/>
                <w:color w:val="auto"/>
              </w:rPr>
            </w:pPr>
            <w:r>
              <w:rPr>
                <w:rFonts w:hint="eastAsia"/>
                <w:color w:val="auto"/>
              </w:rPr>
              <w:t>公司企管部负责内外部沟通的策划与实施，对与管理体系相关的内外部沟通的需求进行管理。管理的内容包括：信息交流的种类、性质和职责，信息交流的时机、对象、内容和方式。</w:t>
            </w:r>
          </w:p>
          <w:p>
            <w:pPr>
              <w:ind w:firstLine="420" w:firstLineChars="200"/>
              <w:rPr>
                <w:rFonts w:hint="eastAsia"/>
                <w:color w:val="auto"/>
              </w:rPr>
            </w:pPr>
            <w:r>
              <w:rPr>
                <w:rFonts w:hint="eastAsia"/>
                <w:color w:val="auto"/>
                <w:lang w:val="en-US" w:eastAsia="zh-CN"/>
              </w:rPr>
              <w:t>规定能源管理体系的相关信息进行内、外部交流的程序及交流的方式、内容、对象和时机。</w:t>
            </w:r>
          </w:p>
          <w:p>
            <w:pPr>
              <w:ind w:firstLine="420" w:firstLineChars="200"/>
              <w:rPr>
                <w:rFonts w:hint="eastAsia"/>
                <w:color w:val="auto"/>
              </w:rPr>
            </w:pPr>
            <w:r>
              <w:rPr>
                <w:rFonts w:hint="eastAsia"/>
                <w:color w:val="auto"/>
              </w:rPr>
              <w:t>信息的沟通方式主要有：文件、会议、宣传栏、计算机网络、报表等形式</w:t>
            </w:r>
            <w:r>
              <w:rPr>
                <w:rFonts w:hint="eastAsia"/>
                <w:color w:val="auto"/>
                <w:lang w:eastAsia="zh-CN"/>
              </w:rPr>
              <w:t>，</w:t>
            </w:r>
            <w:r>
              <w:rPr>
                <w:rFonts w:hint="eastAsia"/>
                <w:color w:val="auto"/>
                <w:lang w:val="en-US" w:eastAsia="zh-CN"/>
              </w:rPr>
              <w:t>基本与去年一样</w:t>
            </w:r>
            <w:r>
              <w:rPr>
                <w:rFonts w:hint="eastAsia"/>
                <w:color w:val="auto"/>
              </w:rPr>
              <w:t>。</w:t>
            </w:r>
          </w:p>
          <w:p>
            <w:pPr>
              <w:ind w:firstLine="420" w:firstLineChars="200"/>
              <w:rPr>
                <w:rFonts w:hint="eastAsia"/>
                <w:color w:val="auto"/>
                <w:lang w:val="en-US" w:eastAsia="zh-CN"/>
              </w:rPr>
            </w:pPr>
            <w:r>
              <w:rPr>
                <w:rFonts w:hint="eastAsia"/>
                <w:color w:val="auto"/>
                <w:lang w:val="en-US" w:eastAsia="zh-CN"/>
              </w:rPr>
              <w:t>目前本部门没有发生有上述的问题。</w:t>
            </w:r>
          </w:p>
          <w:p>
            <w:pPr>
              <w:numPr>
                <w:ilvl w:val="0"/>
                <w:numId w:val="2"/>
              </w:numPr>
              <w:ind w:firstLine="420" w:firstLineChars="200"/>
              <w:rPr>
                <w:rFonts w:hint="eastAsia"/>
                <w:color w:val="auto"/>
                <w:lang w:val="en-US" w:eastAsia="zh-CN"/>
              </w:rPr>
            </w:pPr>
            <w:r>
              <w:rPr>
                <w:rFonts w:hint="eastAsia"/>
                <w:color w:val="auto"/>
                <w:lang w:val="en-US" w:eastAsia="zh-CN"/>
              </w:rPr>
              <w:t>查培训</w:t>
            </w:r>
          </w:p>
          <w:p>
            <w:pPr>
              <w:ind w:firstLine="420" w:firstLineChars="200"/>
              <w:rPr>
                <w:rFonts w:hint="default"/>
                <w:color w:val="auto"/>
                <w:lang w:val="en-US" w:eastAsia="zh-CN"/>
              </w:rPr>
            </w:pPr>
            <w:r>
              <w:rPr>
                <w:rFonts w:hint="eastAsia"/>
                <w:color w:val="auto"/>
                <w:lang w:val="en-US" w:eastAsia="zh-CN"/>
              </w:rPr>
              <w:t>1、提供编号为编号：EnMS2-017-001《2022年培训计划》，涵盖内容有：序号、培训项目、计划时间、参加人员、讲师、考核方式等。共有13项。</w:t>
            </w:r>
          </w:p>
          <w:p>
            <w:pPr>
              <w:pStyle w:val="6"/>
              <w:ind w:left="0" w:leftChars="0" w:firstLine="0" w:firstLineChars="0"/>
              <w:jc w:val="center"/>
              <w:rPr>
                <w:rFonts w:hint="eastAsia"/>
                <w:color w:val="auto"/>
                <w:lang w:val="en-US" w:eastAsia="zh-CN"/>
              </w:rPr>
            </w:pPr>
            <w:r>
              <w:rPr>
                <w:color w:val="auto"/>
              </w:rPr>
              <w:drawing>
                <wp:inline distT="0" distB="0" distL="114300" distR="114300">
                  <wp:extent cx="5273040" cy="2350770"/>
                  <wp:effectExtent l="0" t="0" r="1016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3040" cy="2350770"/>
                          </a:xfrm>
                          <a:prstGeom prst="rect">
                            <a:avLst/>
                          </a:prstGeom>
                          <a:noFill/>
                          <a:ln>
                            <a:noFill/>
                          </a:ln>
                        </pic:spPr>
                      </pic:pic>
                    </a:graphicData>
                  </a:graphic>
                </wp:inline>
              </w:drawing>
            </w:r>
          </w:p>
          <w:p>
            <w:pPr>
              <w:rPr>
                <w:rFonts w:hint="eastAsia"/>
                <w:color w:val="auto"/>
                <w:lang w:val="en-US" w:eastAsia="zh-CN"/>
              </w:rPr>
            </w:pPr>
          </w:p>
          <w:p>
            <w:pPr>
              <w:pStyle w:val="6"/>
              <w:numPr>
                <w:ilvl w:val="0"/>
                <w:numId w:val="0"/>
              </w:numPr>
              <w:rPr>
                <w:color w:val="auto"/>
              </w:rPr>
            </w:pPr>
            <w:r>
              <w:rPr>
                <w:rFonts w:hint="eastAsia"/>
                <w:color w:val="auto"/>
                <w:lang w:val="en-US" w:eastAsia="zh-CN"/>
              </w:rPr>
              <w:t>2、抽查《能源管理体系建设及能源管理体系标准》、《能源管理手册及内审员培训》的培训。符合要求。</w:t>
            </w:r>
          </w:p>
          <w:p>
            <w:pPr>
              <w:rPr>
                <w:rFonts w:hint="eastAsia"/>
                <w:color w:val="auto"/>
                <w:lang w:val="en-US" w:eastAsia="zh-CN"/>
              </w:rPr>
            </w:pPr>
            <w:r>
              <w:rPr>
                <w:rFonts w:hint="eastAsia"/>
                <w:color w:val="auto"/>
                <w:lang w:val="en-US" w:eastAsia="zh-CN"/>
              </w:rPr>
              <w:t xml:space="preserve">    </w:t>
            </w:r>
          </w:p>
          <w:p>
            <w:pPr>
              <w:rPr>
                <w:rFonts w:hint="default"/>
                <w:color w:val="auto"/>
                <w:lang w:val="en-US" w:eastAsia="zh-CN"/>
              </w:rPr>
            </w:pPr>
            <w:r>
              <w:rPr>
                <w:rFonts w:hint="eastAsia"/>
                <w:color w:val="auto"/>
                <w:lang w:val="en-US" w:eastAsia="zh-CN"/>
              </w:rPr>
              <w:t>3、抽查《能源管理体系涉及边界和范围的讲解》《节能法律法规及相关知识培训》的培训。符合要求。</w:t>
            </w:r>
          </w:p>
          <w:p>
            <w:pPr>
              <w:pStyle w:val="2"/>
              <w:keepNext w:val="0"/>
              <w:keepLines w:val="0"/>
              <w:pageBreakBefore w:val="0"/>
              <w:widowControl w:val="0"/>
              <w:kinsoku/>
              <w:wordWrap/>
              <w:overflowPunct/>
              <w:topLinePunct w:val="0"/>
              <w:autoSpaceDE w:val="0"/>
              <w:autoSpaceDN w:val="0"/>
              <w:bidi w:val="0"/>
              <w:adjustRightInd/>
              <w:snapToGrid/>
              <w:spacing w:before="0"/>
              <w:ind w:left="0" w:firstLine="0"/>
              <w:jc w:val="center"/>
              <w:textAlignment w:val="auto"/>
              <w:rPr>
                <w:rFonts w:hint="eastAsia" w:eastAsia="宋体"/>
                <w:color w:val="auto"/>
                <w:lang w:val="en-US" w:eastAsia="zh-CN"/>
              </w:rPr>
            </w:pPr>
            <w:r>
              <w:rPr>
                <w:rFonts w:hint="eastAsia"/>
                <w:color w:val="auto"/>
                <w:lang w:val="en-US" w:eastAsia="zh-CN"/>
              </w:rPr>
              <w:t xml:space="preserve"> </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textAlignment w:val="auto"/>
              <w:rPr>
                <w:rFonts w:hint="eastAsia"/>
                <w:color w:val="auto"/>
                <w:sz w:val="21"/>
                <w:szCs w:val="21"/>
                <w:lang w:val="en-US" w:eastAsia="zh-CN"/>
              </w:rPr>
            </w:pPr>
            <w:r>
              <w:rPr>
                <w:rFonts w:hint="eastAsia"/>
                <w:color w:val="auto"/>
                <w:sz w:val="21"/>
                <w:szCs w:val="21"/>
                <w:lang w:val="en-US" w:eastAsia="zh-CN"/>
              </w:rPr>
              <w:t>三、查阅资质，本公司只有一个特殊工种——低压电工。</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textAlignment w:val="auto"/>
              <w:rPr>
                <w:rFonts w:hint="eastAsia"/>
                <w:color w:val="auto"/>
                <w:sz w:val="21"/>
                <w:szCs w:val="21"/>
                <w:lang w:val="en-US" w:eastAsia="zh-CN"/>
              </w:rPr>
            </w:pPr>
            <w:r>
              <w:rPr>
                <w:rFonts w:hint="eastAsia"/>
                <w:color w:val="auto"/>
                <w:sz w:val="21"/>
                <w:szCs w:val="21"/>
                <w:lang w:val="en-US" w:eastAsia="zh-CN"/>
              </w:rPr>
              <w:t>抽查原件：低压电工作业证  张顺长，符合要求。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jc w:val="center"/>
              <w:textAlignment w:val="auto"/>
              <w:rPr>
                <w:rFonts w:hint="eastAsia"/>
                <w:color w:val="auto"/>
                <w:lang w:val="en-US" w:eastAsia="zh-CN"/>
              </w:rPr>
            </w:pPr>
            <w:r>
              <w:rPr>
                <w:rFonts w:hint="eastAsia"/>
                <w:color w:val="auto"/>
                <w:lang w:val="en-US" w:eastAsia="zh-CN"/>
              </w:rPr>
              <w:t xml:space="preserve"> </w:t>
            </w:r>
            <w:r>
              <w:rPr>
                <w:color w:val="auto"/>
              </w:rPr>
              <w:drawing>
                <wp:inline distT="0" distB="0" distL="114300" distR="114300">
                  <wp:extent cx="3009900" cy="16357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3009900" cy="1635760"/>
                          </a:xfrm>
                          <a:prstGeom prst="rect">
                            <a:avLst/>
                          </a:prstGeom>
                          <a:noFill/>
                          <a:ln>
                            <a:noFill/>
                          </a:ln>
                        </pic:spPr>
                      </pic:pic>
                    </a:graphicData>
                  </a:graphic>
                </wp:inline>
              </w:drawing>
            </w: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Times New Roman"/>
                <w:color w:val="auto"/>
                <w:sz w:val="21"/>
                <w:szCs w:val="21"/>
                <w:lang w:val="en-US" w:eastAsia="zh-CN"/>
              </w:rPr>
              <w:t>3.文件控制</w:t>
            </w:r>
          </w:p>
        </w:tc>
        <w:tc>
          <w:tcPr>
            <w:tcW w:w="960" w:type="dxa"/>
            <w:vAlign w:val="top"/>
          </w:tcPr>
          <w:p>
            <w:pPr>
              <w:pStyle w:val="6"/>
              <w:ind w:left="0" w:leftChars="0" w:firstLine="0" w:firstLineChars="0"/>
              <w:rPr>
                <w:rFonts w:hint="eastAsia" w:ascii="宋体" w:hAnsi="宋体"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lang w:val="en-US" w:eastAsia="zh-CN" w:bidi="ar-SA"/>
              </w:rPr>
              <w:t>7.5</w:t>
            </w:r>
          </w:p>
        </w:tc>
        <w:tc>
          <w:tcPr>
            <w:tcW w:w="10376" w:type="dxa"/>
            <w:vAlign w:val="top"/>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1、提供有《CDGD/EnMS-CX-03-2021文件控制程序》《CDGD/EnMS-CX-04-2021记录控制程序》，经过编审批符合标准要求。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2、提供文件化信息：《能源管理体系手册》文件编号：编 号：CDGD/ENMS-SC-01-2022，版本号：A/0，生效日期：2022.1.15，制定：文件小组，审核：兰雪 ，批准：尹建。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xml:space="preserve"> 3、《程序文件》共20个，版本号：A/0，生效日期：2022.1.15，制定：文件小组，审核：兰雪 ，批准：尹建。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4、提供《能源管理制度等文件》，共7个，制定：文件小组，审核：兰雪 ，批准：尹建。基本符合标准要求。提供《管理制度》类，共分三章节。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5、提供《记录一览表》，共有68个，基本符合标准要求。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以上有发布，实施。有编审批。确保了其适宜性和充分性。</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6、查阅有相应的外来文件，包括法律法规及其它要求清单，共收集了81个。</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7、查阅相应的文件收集、发放记录，基本符合标准要求。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8、查阅提供的体系文件都是现行有效的。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抽查部分记录清单：查看编号为：EnMS2-017-001，《XXXX年度培训计划》，有效。</w:t>
            </w:r>
          </w:p>
          <w:p>
            <w:pPr>
              <w:pStyle w:val="10"/>
              <w:rPr>
                <w:rFonts w:hint="eastAsia"/>
                <w:lang w:val="en-US" w:eastAsia="zh-CN"/>
              </w:rPr>
            </w:pPr>
          </w:p>
        </w:tc>
        <w:tc>
          <w:tcPr>
            <w:tcW w:w="1213" w:type="dxa"/>
          </w:tcPr>
          <w:p>
            <w:pP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Times New Roman"/>
                <w:color w:val="auto"/>
                <w:sz w:val="21"/>
                <w:szCs w:val="21"/>
                <w:lang w:val="en-US" w:eastAsia="zh-CN"/>
              </w:rPr>
              <w:t>4.内部审核</w:t>
            </w:r>
          </w:p>
        </w:tc>
        <w:tc>
          <w:tcPr>
            <w:tcW w:w="960" w:type="dxa"/>
            <w:vAlign w:val="top"/>
          </w:tcPr>
          <w:p>
            <w:pPr>
              <w:pStyle w:val="6"/>
              <w:ind w:left="0" w:leftChars="0" w:firstLine="0" w:firstLineChars="0"/>
              <w:rPr>
                <w:rFonts w:hint="eastAsia" w:ascii="宋体" w:hAnsi="宋体"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lang w:val="en-US" w:eastAsia="zh-CN" w:bidi="ar-SA"/>
              </w:rPr>
              <w:t>9.2</w:t>
            </w:r>
          </w:p>
        </w:tc>
        <w:tc>
          <w:tcPr>
            <w:tcW w:w="10376" w:type="dxa"/>
            <w:vAlign w:val="top"/>
          </w:tcPr>
          <w:p>
            <w:pPr>
              <w:ind w:firstLine="420" w:firstLineChars="200"/>
              <w:rPr>
                <w:rFonts w:hint="eastAsia" w:eastAsia="宋体"/>
                <w:color w:val="auto"/>
                <w:lang w:val="en-US" w:eastAsia="zh-CN"/>
              </w:rPr>
            </w:pPr>
            <w:r>
              <w:rPr>
                <w:rFonts w:hint="eastAsia" w:eastAsia="宋体"/>
                <w:color w:val="auto"/>
                <w:lang w:val="en-US" w:eastAsia="zh-CN"/>
              </w:rPr>
              <w:t>1、提供《CDGD/EnMS-CX-16-2021内部审核控制程序》，有编审批，符合标准要求与企业实际。</w:t>
            </w:r>
          </w:p>
          <w:p>
            <w:pPr>
              <w:ind w:firstLine="420" w:firstLineChars="200"/>
              <w:rPr>
                <w:rFonts w:hint="default" w:eastAsia="宋体"/>
                <w:color w:val="auto"/>
                <w:lang w:val="en-US" w:eastAsia="zh-CN"/>
              </w:rPr>
            </w:pPr>
            <w:r>
              <w:rPr>
                <w:rFonts w:hint="default" w:eastAsia="宋体"/>
                <w:color w:val="auto"/>
                <w:lang w:val="en-US" w:eastAsia="zh-CN"/>
              </w:rPr>
              <w:t>2、提供有“内审计划”，公司与202</w:t>
            </w:r>
            <w:r>
              <w:rPr>
                <w:rFonts w:hint="eastAsia" w:eastAsia="宋体"/>
                <w:color w:val="auto"/>
                <w:lang w:val="en-US" w:eastAsia="zh-CN"/>
              </w:rPr>
              <w:t>2</w:t>
            </w:r>
            <w:r>
              <w:rPr>
                <w:rFonts w:hint="default" w:eastAsia="宋体"/>
                <w:color w:val="auto"/>
                <w:lang w:val="en-US" w:eastAsia="zh-CN"/>
              </w:rPr>
              <w:t>年</w:t>
            </w:r>
            <w:r>
              <w:rPr>
                <w:rFonts w:hint="eastAsia" w:eastAsia="宋体"/>
                <w:color w:val="auto"/>
                <w:lang w:val="en-US" w:eastAsia="zh-CN"/>
              </w:rPr>
              <w:t>6月22日至6月23日</w:t>
            </w:r>
            <w:r>
              <w:rPr>
                <w:rFonts w:hint="default" w:eastAsia="宋体"/>
                <w:color w:val="auto"/>
                <w:lang w:val="en-US" w:eastAsia="zh-CN"/>
              </w:rPr>
              <w:t>进行了一次能源管理体系的内审。</w:t>
            </w:r>
          </w:p>
          <w:p>
            <w:pPr>
              <w:rPr>
                <w:rFonts w:hint="default" w:eastAsia="宋体"/>
                <w:color w:val="auto"/>
                <w:lang w:val="en-US" w:eastAsia="zh-CN"/>
              </w:rPr>
            </w:pPr>
            <w:r>
              <w:rPr>
                <w:rFonts w:hint="default" w:eastAsia="宋体"/>
                <w:color w:val="auto"/>
                <w:lang w:val="en-US" w:eastAsia="zh-CN"/>
              </w:rPr>
              <w:t>受审对象：</w:t>
            </w:r>
            <w:r>
              <w:rPr>
                <w:rFonts w:hint="eastAsia" w:eastAsia="宋体"/>
                <w:color w:val="auto"/>
                <w:lang w:val="en-US" w:eastAsia="zh-CN"/>
              </w:rPr>
              <w:t>管理层、综合部、生产部、业务部、财务部</w:t>
            </w:r>
            <w:r>
              <w:rPr>
                <w:rFonts w:hint="default" w:eastAsia="宋体"/>
                <w:color w:val="auto"/>
                <w:lang w:val="en-US" w:eastAsia="zh-CN"/>
              </w:rPr>
              <w:t>。</w:t>
            </w:r>
          </w:p>
          <w:p>
            <w:pPr>
              <w:ind w:firstLine="420" w:firstLineChars="200"/>
              <w:rPr>
                <w:rFonts w:hint="default" w:eastAsia="宋体"/>
                <w:color w:val="auto"/>
                <w:lang w:val="en-US" w:eastAsia="zh-CN"/>
              </w:rPr>
            </w:pPr>
            <w:r>
              <w:rPr>
                <w:rFonts w:hint="default" w:eastAsia="宋体"/>
                <w:color w:val="auto"/>
                <w:lang w:val="en-US" w:eastAsia="zh-CN"/>
              </w:rPr>
              <w:t>审核依据：公司能源管理体系文件、ISO 50001:2018标准、适用法律法规标准、其他相关方要求。</w:t>
            </w:r>
          </w:p>
          <w:p>
            <w:pPr>
              <w:ind w:firstLine="420" w:firstLineChars="200"/>
              <w:rPr>
                <w:rFonts w:hint="default" w:eastAsia="宋体"/>
                <w:color w:val="auto"/>
                <w:lang w:val="en-US" w:eastAsia="zh-CN"/>
              </w:rPr>
            </w:pPr>
            <w:r>
              <w:rPr>
                <w:rFonts w:hint="default" w:eastAsia="宋体"/>
                <w:color w:val="auto"/>
                <w:lang w:val="en-US" w:eastAsia="zh-CN"/>
              </w:rPr>
              <w:t>审核目的：评价公司建立的能源管理体系与标准的符合性及运行的有效性，能源目标和指针的实现情况及能源管理体系的运行绩效，以及能否正式申请能源管理体系验收或认证注册。</w:t>
            </w:r>
          </w:p>
          <w:p>
            <w:pPr>
              <w:ind w:firstLine="420" w:firstLineChars="200"/>
              <w:rPr>
                <w:rFonts w:hint="default" w:eastAsia="宋体"/>
                <w:color w:val="auto"/>
                <w:lang w:val="en-US" w:eastAsia="zh-CN"/>
              </w:rPr>
            </w:pPr>
            <w:r>
              <w:rPr>
                <w:rFonts w:hint="default" w:eastAsia="宋体"/>
                <w:color w:val="auto"/>
                <w:lang w:val="en-US" w:eastAsia="zh-CN"/>
              </w:rPr>
              <w:t>审核范围: 服装（西服、制式服装、衬衫、大衣、西背、西裤）、针纺织品（火车座椅套、火车铺套、布艺类装饰用品）、床上用品的生产所涉及的能源管理活动</w:t>
            </w:r>
            <w:r>
              <w:rPr>
                <w:rFonts w:hint="eastAsia" w:eastAsia="宋体"/>
                <w:color w:val="auto"/>
                <w:lang w:val="en-US" w:eastAsia="zh-CN"/>
              </w:rPr>
              <w:t>。</w:t>
            </w:r>
          </w:p>
          <w:p>
            <w:pPr>
              <w:ind w:firstLine="420" w:firstLineChars="200"/>
              <w:rPr>
                <w:rFonts w:hint="default" w:eastAsia="宋体"/>
                <w:color w:val="auto"/>
                <w:lang w:val="en-US" w:eastAsia="zh-CN"/>
              </w:rPr>
            </w:pPr>
            <w:r>
              <w:rPr>
                <w:rFonts w:hint="default" w:eastAsia="宋体"/>
                <w:color w:val="auto"/>
                <w:lang w:val="en-US" w:eastAsia="zh-CN"/>
              </w:rPr>
              <w:t>审核组成员：组长：曹俊萍A</w:t>
            </w:r>
            <w:r>
              <w:rPr>
                <w:rFonts w:hint="eastAsia" w:eastAsia="宋体"/>
                <w:color w:val="auto"/>
                <w:lang w:val="en-US" w:eastAsia="zh-CN"/>
              </w:rPr>
              <w:t>，</w:t>
            </w:r>
            <w:r>
              <w:rPr>
                <w:rFonts w:hint="default" w:eastAsia="宋体"/>
                <w:color w:val="auto"/>
                <w:lang w:val="en-US" w:eastAsia="zh-CN"/>
              </w:rPr>
              <w:t>组员：魏凤麟 B。内审员均经过内审员培训</w:t>
            </w:r>
            <w:r>
              <w:rPr>
                <w:rFonts w:hint="eastAsia" w:eastAsia="宋体"/>
                <w:color w:val="auto"/>
                <w:lang w:val="en-US" w:eastAsia="zh-CN"/>
              </w:rPr>
              <w:t>，并且经过总经理发文任命</w:t>
            </w:r>
            <w:r>
              <w:rPr>
                <w:rFonts w:hint="default" w:eastAsia="宋体"/>
                <w:color w:val="auto"/>
                <w:lang w:val="en-US" w:eastAsia="zh-CN"/>
              </w:rPr>
              <w:t>。</w:t>
            </w:r>
          </w:p>
          <w:p>
            <w:pPr>
              <w:ind w:firstLine="420" w:firstLineChars="200"/>
              <w:rPr>
                <w:rFonts w:hint="eastAsia" w:eastAsia="宋体"/>
                <w:color w:val="auto"/>
                <w:sz w:val="21"/>
                <w:szCs w:val="21"/>
                <w:lang w:val="en-US" w:eastAsia="zh-CN"/>
              </w:rPr>
            </w:pPr>
            <w:r>
              <w:rPr>
                <w:rFonts w:hint="eastAsia" w:eastAsia="宋体"/>
                <w:color w:val="auto"/>
                <w:lang w:val="en-US" w:eastAsia="zh-CN"/>
              </w:rPr>
              <w:t>3、</w:t>
            </w:r>
            <w:r>
              <w:rPr>
                <w:rFonts w:hint="default" w:eastAsia="宋体"/>
                <w:color w:val="auto"/>
                <w:lang w:val="en-US" w:eastAsia="zh-CN"/>
              </w:rPr>
              <w:t>提供</w:t>
            </w:r>
            <w:r>
              <w:rPr>
                <w:rFonts w:hint="eastAsia" w:eastAsia="宋体"/>
                <w:color w:val="auto"/>
                <w:lang w:val="en-US" w:eastAsia="zh-CN"/>
              </w:rPr>
              <w:t>首末次</w:t>
            </w:r>
            <w:r>
              <w:rPr>
                <w:rFonts w:hint="default" w:eastAsia="宋体"/>
                <w:color w:val="auto"/>
                <w:lang w:val="en-US" w:eastAsia="zh-CN"/>
              </w:rPr>
              <w:t>会议签到表：</w:t>
            </w:r>
            <w:r>
              <w:rPr>
                <w:rFonts w:hint="eastAsia"/>
                <w:color w:val="auto"/>
                <w:lang w:val="en-US" w:eastAsia="zh-CN"/>
              </w:rPr>
              <w:t xml:space="preserve">有相关人员签字，符合要求。 </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4、</w:t>
            </w:r>
            <w:r>
              <w:rPr>
                <w:rFonts w:hint="default"/>
                <w:color w:val="auto"/>
                <w:sz w:val="21"/>
                <w:szCs w:val="21"/>
                <w:lang w:val="en-US" w:eastAsia="zh-CN"/>
              </w:rPr>
              <w:t>提供“内审检查表”，抽查对</w:t>
            </w:r>
            <w:r>
              <w:rPr>
                <w:rFonts w:hint="eastAsia"/>
                <w:color w:val="auto"/>
                <w:sz w:val="21"/>
                <w:szCs w:val="21"/>
                <w:lang w:val="en-US" w:eastAsia="zh-CN"/>
              </w:rPr>
              <w:t>总经理/管代</w:t>
            </w:r>
            <w:r>
              <w:rPr>
                <w:rFonts w:hint="default"/>
                <w:color w:val="auto"/>
                <w:sz w:val="21"/>
                <w:szCs w:val="21"/>
                <w:lang w:val="en-US" w:eastAsia="zh-CN"/>
              </w:rPr>
              <w:t>的审核，</w:t>
            </w:r>
            <w:r>
              <w:rPr>
                <w:rFonts w:hint="eastAsia"/>
                <w:color w:val="auto"/>
                <w:sz w:val="21"/>
                <w:szCs w:val="21"/>
                <w:lang w:val="en-US" w:eastAsia="zh-CN"/>
              </w:rPr>
              <w:t>内审员：</w:t>
            </w:r>
            <w:r>
              <w:rPr>
                <w:rFonts w:hint="default" w:ascii="宋体" w:hAnsi="宋体" w:eastAsia="宋体" w:cs="宋体"/>
                <w:color w:val="auto"/>
                <w:sz w:val="21"/>
                <w:szCs w:val="21"/>
                <w:lang w:val="en-US" w:eastAsia="zh-CN"/>
              </w:rPr>
              <w:t>魏凤麟 B</w:t>
            </w:r>
            <w:r>
              <w:rPr>
                <w:rFonts w:hint="eastAsia"/>
                <w:color w:val="auto"/>
                <w:sz w:val="21"/>
                <w:szCs w:val="21"/>
                <w:lang w:val="en-US" w:eastAsia="zh-CN"/>
              </w:rPr>
              <w:t>2022.6.22，9：30-12：00，审核条款：4.1/4.2/4.3/4.4/5.1/5.2/5.3/6.1/6.2/7.1/9.2/9.3/10.2/。</w:t>
            </w:r>
            <w:r>
              <w:rPr>
                <w:rFonts w:hint="default"/>
                <w:color w:val="auto"/>
                <w:sz w:val="21"/>
                <w:szCs w:val="21"/>
                <w:lang w:val="en-US" w:eastAsia="zh-CN"/>
              </w:rPr>
              <w:t>按照审核计划条款进行审核，基本符合标准要求。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b w:val="0"/>
                <w:bCs w:val="0"/>
                <w:i w:val="0"/>
                <w:iCs w:val="0"/>
                <w:color w:val="auto"/>
                <w:sz w:val="21"/>
                <w:szCs w:val="21"/>
                <w:lang w:val="en-US" w:eastAsia="zh-CN"/>
              </w:rPr>
            </w:pPr>
            <w:r>
              <w:rPr>
                <w:rFonts w:hint="eastAsia"/>
                <w:b w:val="0"/>
                <w:bCs w:val="0"/>
                <w:i w:val="0"/>
                <w:iCs w:val="0"/>
                <w:color w:val="auto"/>
                <w:sz w:val="21"/>
                <w:szCs w:val="21"/>
                <w:lang w:val="en-US" w:eastAsia="zh-CN"/>
              </w:rPr>
              <w:t>问题：查内审实施计划，生产部没有排6.3、8.2条款（按照ISO50001职能分配表），已沟通。</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5、</w:t>
            </w:r>
            <w:r>
              <w:rPr>
                <w:rFonts w:hint="default"/>
                <w:color w:val="auto"/>
                <w:sz w:val="21"/>
                <w:szCs w:val="21"/>
                <w:lang w:val="en-US" w:eastAsia="zh-CN"/>
              </w:rPr>
              <w:t>内部审核发现1个不符合项</w:t>
            </w:r>
            <w:r>
              <w:rPr>
                <w:rFonts w:hint="eastAsia"/>
                <w:color w:val="auto"/>
                <w:sz w:val="21"/>
                <w:szCs w:val="21"/>
                <w:lang w:val="en-US" w:eastAsia="zh-CN"/>
              </w:rPr>
              <w:t>，不符合开在生产部；</w:t>
            </w:r>
            <w:r>
              <w:rPr>
                <w:rFonts w:hint="default"/>
                <w:color w:val="auto"/>
                <w:sz w:val="21"/>
                <w:szCs w:val="21"/>
                <w:lang w:val="en-US" w:eastAsia="zh-CN"/>
              </w:rPr>
              <w:t>通过</w:t>
            </w:r>
            <w:r>
              <w:rPr>
                <w:rFonts w:hint="eastAsia"/>
                <w:color w:val="auto"/>
                <w:sz w:val="21"/>
                <w:szCs w:val="21"/>
                <w:lang w:val="en-US" w:eastAsia="zh-CN"/>
              </w:rPr>
              <w:t>原因分析、纠正措施、</w:t>
            </w:r>
            <w:r>
              <w:rPr>
                <w:rFonts w:hint="default"/>
                <w:color w:val="auto"/>
                <w:sz w:val="21"/>
                <w:szCs w:val="21"/>
                <w:lang w:val="en-US" w:eastAsia="zh-CN"/>
              </w:rPr>
              <w:t>现场</w:t>
            </w:r>
            <w:r>
              <w:rPr>
                <w:rFonts w:hint="eastAsia"/>
                <w:color w:val="auto"/>
                <w:sz w:val="21"/>
                <w:szCs w:val="21"/>
                <w:lang w:val="en-US" w:eastAsia="zh-CN"/>
              </w:rPr>
              <w:t>纠正措施验证</w:t>
            </w:r>
            <w:r>
              <w:rPr>
                <w:rFonts w:hint="default"/>
                <w:color w:val="auto"/>
                <w:sz w:val="21"/>
                <w:szCs w:val="21"/>
                <w:lang w:val="en-US" w:eastAsia="zh-CN"/>
              </w:rPr>
              <w:t>的方式得到解决</w:t>
            </w:r>
            <w:r>
              <w:rPr>
                <w:rFonts w:hint="eastAsia"/>
                <w:color w:val="auto"/>
                <w:sz w:val="21"/>
                <w:szCs w:val="21"/>
                <w:lang w:val="en-US" w:eastAsia="zh-CN"/>
              </w:rPr>
              <w:t>；并且提供“培训记录表”、“效果评价表”。基本符合标准要求。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6、</w:t>
            </w:r>
            <w:r>
              <w:rPr>
                <w:rFonts w:hint="default"/>
                <w:color w:val="auto"/>
                <w:sz w:val="21"/>
                <w:szCs w:val="21"/>
                <w:lang w:val="en-US" w:eastAsia="zh-CN"/>
              </w:rPr>
              <w:t>提供有“内审报告”，对体系的评价对能源管理体系的评价</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从审核的结果看，公司的能源管理体系基本符合ISO 50001:2018标准的要求，组织能够遵守与能源有关的法律法规、标准和要求，体系运行较为有效；同时，对2021年1-12月的用能情况统计表审核，公司年度的节能目标已完成，主要通过技术方案与管理方案来支持完成。各级领导和员工的能源管理意识有了普遍的提高，能将节能降耗的思想融入到日常的工作生活中，积极争取公司的能源管理体系认证工作。</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ind w:left="0" w:leftChars="0" w:firstLine="420" w:firstLineChars="200"/>
              <w:jc w:val="both"/>
              <w:textAlignment w:val="auto"/>
              <w:rPr>
                <w:rFonts w:hint="eastAsia"/>
                <w:color w:val="auto"/>
                <w:sz w:val="21"/>
                <w:szCs w:val="21"/>
                <w:lang w:val="en-US" w:eastAsia="zh-CN"/>
              </w:rPr>
            </w:pPr>
          </w:p>
        </w:tc>
        <w:tc>
          <w:tcPr>
            <w:tcW w:w="1213" w:type="dxa"/>
          </w:tcPr>
          <w:p>
            <w:pP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5" w:hRule="atLeast"/>
        </w:trPr>
        <w:tc>
          <w:tcPr>
            <w:tcW w:w="2160" w:type="dxa"/>
            <w:vMerge w:val="restart"/>
          </w:tcPr>
          <w:p>
            <w:pP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5.</w:t>
            </w:r>
            <w:r>
              <w:rPr>
                <w:rFonts w:hint="eastAsia" w:ascii="宋体" w:hAnsi="宋体" w:eastAsia="宋体" w:cs="Times New Roman"/>
                <w:color w:val="auto"/>
                <w:sz w:val="21"/>
                <w:szCs w:val="21"/>
              </w:rPr>
              <w:t>运行的策划和控制、</w:t>
            </w:r>
          </w:p>
          <w:p>
            <w:pPr>
              <w:rPr>
                <w:rFonts w:hint="eastAsia" w:ascii="宋体" w:hAnsi="宋体" w:eastAsia="宋体" w:cs="Times New Roman"/>
                <w:color w:val="auto"/>
                <w:sz w:val="21"/>
                <w:szCs w:val="21"/>
              </w:rPr>
            </w:pPr>
            <w:r>
              <w:rPr>
                <w:rFonts w:hint="eastAsia" w:ascii="宋体" w:hAnsi="宋体" w:cs="Times New Roman"/>
                <w:color w:val="auto"/>
                <w:sz w:val="21"/>
                <w:szCs w:val="21"/>
                <w:lang w:val="en-US" w:eastAsia="zh-CN"/>
              </w:rPr>
              <w:t>6.</w:t>
            </w:r>
            <w:r>
              <w:rPr>
                <w:rFonts w:hint="eastAsia" w:ascii="宋体" w:hAnsi="宋体" w:eastAsia="宋体" w:cs="Times New Roman"/>
                <w:color w:val="auto"/>
                <w:sz w:val="21"/>
                <w:szCs w:val="21"/>
              </w:rPr>
              <w:t>不符合与纠正措施</w:t>
            </w:r>
          </w:p>
        </w:tc>
        <w:tc>
          <w:tcPr>
            <w:tcW w:w="960" w:type="dxa"/>
            <w:vMerge w:val="restart"/>
          </w:tcPr>
          <w:p>
            <w:pPr>
              <w:pStyle w:val="6"/>
              <w:ind w:left="0" w:leftChars="0" w:firstLine="0" w:firstLineChars="0"/>
              <w:rPr>
                <w:rFonts w:hint="eastAsia" w:ascii="宋体" w:hAnsi="宋体" w:eastAsia="宋体" w:cs="Times New Roman"/>
                <w:color w:val="auto"/>
                <w:sz w:val="21"/>
                <w:szCs w:val="21"/>
              </w:rPr>
            </w:pPr>
            <w:r>
              <w:rPr>
                <w:rFonts w:hint="eastAsia" w:ascii="宋体" w:hAnsi="宋体" w:eastAsia="宋体" w:cs="Times New Roman"/>
                <w:color w:val="auto"/>
                <w:sz w:val="21"/>
                <w:szCs w:val="21"/>
              </w:rPr>
              <w:t>8.1</w:t>
            </w:r>
          </w:p>
          <w:p>
            <w:pPr>
              <w:pStyle w:val="6"/>
              <w:ind w:left="0" w:leftChars="0" w:firstLine="0" w:firstLineChars="0"/>
              <w:rPr>
                <w:rFonts w:hint="eastAsia" w:ascii="宋体" w:hAnsi="宋体" w:cs="Times New Roman"/>
                <w:color w:val="auto"/>
                <w:sz w:val="21"/>
                <w:szCs w:val="21"/>
                <w:lang w:val="en-US" w:eastAsia="zh-CN"/>
              </w:rPr>
            </w:pPr>
            <w:r>
              <w:rPr>
                <w:rFonts w:hint="eastAsia" w:ascii="宋体" w:hAnsi="宋体" w:eastAsia="宋体" w:cs="Times New Roman"/>
                <w:color w:val="auto"/>
                <w:sz w:val="21"/>
                <w:szCs w:val="21"/>
              </w:rPr>
              <w:t>10.1</w:t>
            </w:r>
          </w:p>
        </w:tc>
        <w:tc>
          <w:tcPr>
            <w:tcW w:w="10376" w:type="dxa"/>
            <w:vMerge w:val="restart"/>
          </w:tcPr>
          <w:p>
            <w:pPr>
              <w:pStyle w:val="6"/>
              <w:ind w:left="0" w:leftChars="0" w:firstLine="420" w:firstLineChars="200"/>
              <w:rPr>
                <w:rFonts w:hint="eastAsia"/>
                <w:lang w:val="en-US" w:eastAsia="zh-CN"/>
              </w:rPr>
            </w:pPr>
            <w:r>
              <w:rPr>
                <w:rFonts w:hint="eastAsia"/>
                <w:lang w:val="en-US" w:eastAsia="zh-CN"/>
              </w:rPr>
              <w:t>公司编制有《CDGD/EnMS-CX-14-2021不符合、纠正和预防措施程序》《CDGD/EnMS-CX-19-2021运行过程控制程序 》等，有编审批。确保了其适宜性和充分性等。。</w:t>
            </w:r>
          </w:p>
          <w:p>
            <w:pPr>
              <w:pStyle w:val="6"/>
              <w:rPr>
                <w:rFonts w:hint="eastAsia"/>
                <w:lang w:val="en-US" w:eastAsia="zh-CN"/>
              </w:rPr>
            </w:pPr>
            <w:r>
              <w:rPr>
                <w:rFonts w:hint="eastAsia"/>
                <w:lang w:val="en-US" w:eastAsia="zh-CN"/>
              </w:rPr>
              <w:t>综合部对公司分管的职责进行每月的绩效考核。包括以下方面的工作：负责人员资质的有效性实施监管，</w:t>
            </w:r>
          </w:p>
          <w:p>
            <w:pPr>
              <w:pStyle w:val="6"/>
              <w:ind w:left="0" w:leftChars="0" w:firstLine="0" w:firstLineChars="0"/>
              <w:rPr>
                <w:rFonts w:hint="eastAsia"/>
                <w:lang w:val="en-US" w:eastAsia="zh-CN"/>
              </w:rPr>
            </w:pPr>
            <w:r>
              <w:rPr>
                <w:rFonts w:hint="eastAsia"/>
                <w:lang w:val="en-US" w:eastAsia="zh-CN"/>
              </w:rPr>
              <w:t>负责组织公司职工教育培训工作，并对培训效果进行考核。严把招工关，新招录人员符合从业条件。加强劳动纪律管理，严格考核，保证正常的安全生产秩序。负责薪酬管理工作，职工上岗、评奖、晋升、薪酬分配与安</w:t>
            </w:r>
          </w:p>
          <w:p>
            <w:pPr>
              <w:pStyle w:val="6"/>
              <w:ind w:left="0" w:leftChars="0" w:firstLine="0" w:firstLineChars="0"/>
              <w:rPr>
                <w:rFonts w:hint="eastAsia"/>
                <w:lang w:val="en-US" w:eastAsia="zh-CN"/>
              </w:rPr>
            </w:pPr>
            <w:r>
              <w:rPr>
                <w:rFonts w:hint="eastAsia"/>
                <w:lang w:val="en-US" w:eastAsia="zh-CN"/>
              </w:rPr>
              <w:t>全生产挂钩考核。</w:t>
            </w:r>
          </w:p>
          <w:p>
            <w:pPr>
              <w:pStyle w:val="6"/>
              <w:rPr>
                <w:rFonts w:hint="eastAsia"/>
                <w:lang w:val="en-US" w:eastAsia="zh-CN"/>
              </w:rPr>
            </w:pPr>
            <w:r>
              <w:rPr>
                <w:rFonts w:hint="eastAsia"/>
                <w:lang w:val="en-US" w:eastAsia="zh-CN"/>
              </w:rPr>
              <w:t>提供《CDGD/EnMS-CX-13-2021能源监视和测量控制程序》《CDGD/EnMS-CX-14-2021不符合、纠正和预</w:t>
            </w:r>
          </w:p>
          <w:p>
            <w:pPr>
              <w:pStyle w:val="6"/>
              <w:ind w:left="0" w:leftChars="0" w:firstLine="0" w:firstLineChars="0"/>
              <w:rPr>
                <w:rFonts w:hint="eastAsia"/>
                <w:lang w:val="en-US" w:eastAsia="zh-CN"/>
              </w:rPr>
            </w:pPr>
            <w:r>
              <w:rPr>
                <w:rFonts w:hint="eastAsia"/>
                <w:lang w:val="en-US" w:eastAsia="zh-CN"/>
              </w:rPr>
              <w:t>防措施程序》公司规定了为了及时纠正在能源管理体系运行中发现的不符合，采取有效的纠正措施与预防措施，减少对生产经营活动的影响，避免不符合的再次发生。</w:t>
            </w:r>
          </w:p>
          <w:p>
            <w:pPr>
              <w:pStyle w:val="6"/>
              <w:rPr>
                <w:rFonts w:hint="eastAsia"/>
                <w:lang w:val="en-US" w:eastAsia="zh-CN"/>
              </w:rPr>
            </w:pPr>
            <w:r>
              <w:rPr>
                <w:rFonts w:hint="eastAsia"/>
                <w:lang w:val="en-US" w:eastAsia="zh-CN"/>
              </w:rPr>
              <w:t>本部门对1、公司职工教育培训工作，并对培训效果进行考核。2、严把招工关，新招录人员符合从业条件。</w:t>
            </w:r>
          </w:p>
          <w:p>
            <w:pPr>
              <w:pStyle w:val="6"/>
              <w:ind w:left="0" w:leftChars="0" w:firstLine="0" w:firstLineChars="0"/>
              <w:rPr>
                <w:rFonts w:hint="eastAsia"/>
                <w:lang w:val="en-US" w:eastAsia="zh-CN"/>
              </w:rPr>
            </w:pPr>
            <w:r>
              <w:rPr>
                <w:rFonts w:hint="eastAsia"/>
                <w:lang w:val="en-US" w:eastAsia="zh-CN"/>
              </w:rPr>
              <w:t>3、加强劳动纪律管理，严格考核，保证正常的安全生产秩序。4、负责薪酬管理工作，职工上岗、评奖、晋升、薪酬分配与安全生产挂钩考核。5、负责人员资质的有效性实施监管。至今每月进行监管与检查没有发生不符合。</w:t>
            </w:r>
          </w:p>
          <w:p>
            <w:pPr>
              <w:pStyle w:val="6"/>
              <w:rPr>
                <w:rFonts w:hint="eastAsia"/>
                <w:lang w:val="en-US" w:eastAsia="zh-CN"/>
              </w:rPr>
            </w:pPr>
            <w:r>
              <w:rPr>
                <w:rFonts w:hint="eastAsia"/>
                <w:lang w:val="en-US" w:eastAsia="zh-CN"/>
              </w:rPr>
              <w:t>办公场所杜绝长明灯、长流水，电脑不适用时处于待机状态。夏季气温超过32℃方可开启空调，制冷温度</w:t>
            </w:r>
          </w:p>
          <w:p>
            <w:pPr>
              <w:pStyle w:val="6"/>
              <w:ind w:left="0" w:leftChars="0" w:firstLine="0" w:firstLineChars="0"/>
              <w:rPr>
                <w:rFonts w:hint="eastAsia"/>
                <w:lang w:val="en-US" w:eastAsia="zh-CN"/>
              </w:rPr>
            </w:pPr>
            <w:r>
              <w:rPr>
                <w:rFonts w:hint="eastAsia"/>
                <w:lang w:val="en-US" w:eastAsia="zh-CN"/>
              </w:rPr>
              <w:t>设置不低于25℃；冬季气温低于5℃方可使用，制热温度设置不高于25℃。办公区张贴节约用电和节约用水的宣传标识。能够做到人走灯息。</w:t>
            </w:r>
          </w:p>
          <w:p>
            <w:pPr>
              <w:rPr>
                <w:rFonts w:hint="eastAsia"/>
                <w:lang w:val="en-US" w:eastAsia="zh-CN"/>
              </w:rPr>
            </w:pPr>
          </w:p>
          <w:p>
            <w:pPr>
              <w:pStyle w:val="10"/>
              <w:rPr>
                <w:rFonts w:hint="default"/>
                <w:lang w:val="en-US" w:eastAsia="zh-CN"/>
              </w:rPr>
            </w:pPr>
          </w:p>
        </w:tc>
        <w:tc>
          <w:tcPr>
            <w:tcW w:w="1213" w:type="dxa"/>
          </w:tcPr>
          <w:p>
            <w:pPr>
              <w:rPr>
                <w:rFonts w:hint="eastAsia" w:eastAsia="宋体"/>
                <w:color w:val="auto"/>
                <w:lang w:val="en-US" w:eastAsia="zh-CN"/>
              </w:rPr>
            </w:pPr>
            <w:r>
              <w:rPr>
                <w:rFonts w:hint="eastAsia"/>
                <w:color w:val="auto"/>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vMerge w:val="continue"/>
          </w:tcPr>
          <w:p>
            <w:pPr>
              <w:rPr>
                <w:rFonts w:hint="eastAsia" w:ascii="宋体" w:hAnsi="宋体" w:eastAsia="宋体" w:cs="Times New Roman"/>
                <w:color w:val="auto"/>
                <w:sz w:val="21"/>
                <w:szCs w:val="21"/>
              </w:rPr>
            </w:pPr>
          </w:p>
        </w:tc>
        <w:tc>
          <w:tcPr>
            <w:tcW w:w="960" w:type="dxa"/>
            <w:vMerge w:val="continue"/>
          </w:tcPr>
          <w:p>
            <w:pPr>
              <w:pStyle w:val="6"/>
              <w:ind w:left="0" w:leftChars="0" w:firstLine="0" w:firstLineChars="0"/>
              <w:rPr>
                <w:rFonts w:hint="eastAsia" w:ascii="宋体" w:hAnsi="宋体" w:cs="Times New Roman"/>
                <w:color w:val="auto"/>
                <w:sz w:val="21"/>
                <w:szCs w:val="21"/>
                <w:lang w:val="en-US" w:eastAsia="zh-CN"/>
              </w:rPr>
            </w:pPr>
          </w:p>
        </w:tc>
        <w:tc>
          <w:tcPr>
            <w:tcW w:w="10376" w:type="dxa"/>
            <w:vMerge w:val="continue"/>
          </w:tcPr>
          <w:p>
            <w:pPr>
              <w:ind w:firstLine="420" w:firstLineChars="200"/>
              <w:rPr>
                <w:rFonts w:hint="default"/>
                <w:color w:val="auto"/>
                <w:lang w:val="en-US" w:eastAsia="zh-CN"/>
              </w:rPr>
            </w:pPr>
          </w:p>
        </w:tc>
        <w:tc>
          <w:tcPr>
            <w:tcW w:w="1213" w:type="dxa"/>
          </w:tcPr>
          <w:p>
            <w:pPr>
              <w:rPr>
                <w:color w:val="auto"/>
              </w:rPr>
            </w:pPr>
          </w:p>
        </w:tc>
      </w:tr>
    </w:tbl>
    <w:p>
      <w:pPr>
        <w:pStyle w:val="4"/>
      </w:pPr>
      <w:r>
        <w:rPr>
          <w:rFonts w:hint="eastAsia"/>
        </w:rPr>
        <w:t>说明：不符合标注N</w:t>
      </w:r>
    </w:p>
    <w:p>
      <w:pPr>
        <w:pStyle w:val="4"/>
        <w:rPr>
          <w:rFonts w:hint="eastAsia"/>
          <w:color w:val="auto"/>
        </w:rPr>
      </w:pPr>
    </w:p>
    <w:p>
      <w:pPr>
        <w:pStyle w:val="4"/>
        <w:rPr>
          <w:rFonts w:hint="eastAsia"/>
          <w:color w:val="auto"/>
        </w:rPr>
      </w:pPr>
    </w:p>
    <w:p>
      <w:pPr>
        <w:pStyle w:val="4"/>
        <w:rPr>
          <w:rFonts w:hint="eastAsia"/>
          <w:color w:val="auto"/>
        </w:rPr>
      </w:pPr>
    </w:p>
    <w:p>
      <w:pPr>
        <w:pStyle w:val="4"/>
        <w:rPr>
          <w:rFonts w:hint="eastAsia"/>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过程与活动、</w:t>
            </w:r>
          </w:p>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涉及</w:t>
            </w:r>
          </w:p>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center"/>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条款</w:t>
            </w: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受审核部门：</w:t>
            </w:r>
            <w:r>
              <w:rPr>
                <w:rFonts w:hint="eastAsia" w:ascii="宋体" w:hAnsi="宋体" w:eastAsia="宋体" w:cs="Times New Roman"/>
                <w:color w:val="auto"/>
                <w:sz w:val="21"/>
                <w:szCs w:val="21"/>
                <w:lang w:val="en-US" w:eastAsia="zh-CN"/>
              </w:rPr>
              <w:t>财务部</w:t>
            </w:r>
            <w:r>
              <w:rPr>
                <w:rFonts w:hint="eastAsia" w:ascii="宋体" w:hAnsi="宋体" w:eastAsia="宋体" w:cs="Times New Roman"/>
                <w:color w:val="auto"/>
                <w:sz w:val="21"/>
                <w:szCs w:val="21"/>
              </w:rPr>
              <w:t xml:space="preserve">    主管领导：</w:t>
            </w:r>
            <w:r>
              <w:rPr>
                <w:rFonts w:hint="eastAsia" w:ascii="宋体" w:hAnsi="宋体" w:cs="Times New Roman"/>
                <w:color w:val="auto"/>
                <w:sz w:val="21"/>
                <w:szCs w:val="21"/>
                <w:lang w:val="en-US" w:eastAsia="zh-CN"/>
              </w:rPr>
              <w:t>魏凤麟</w:t>
            </w:r>
            <w:r>
              <w:rPr>
                <w:rFonts w:hint="eastAsia" w:ascii="宋体" w:hAnsi="宋体" w:eastAsia="宋体" w:cs="Times New Roman"/>
                <w:color w:val="auto"/>
                <w:sz w:val="21"/>
                <w:szCs w:val="21"/>
              </w:rPr>
              <w:t xml:space="preserve">     陪同人员：</w:t>
            </w:r>
            <w:r>
              <w:rPr>
                <w:rFonts w:hint="eastAsia" w:ascii="宋体" w:hAnsi="宋体" w:cs="Times New Roman"/>
                <w:color w:val="auto"/>
                <w:sz w:val="21"/>
                <w:szCs w:val="21"/>
                <w:lang w:val="en-US" w:eastAsia="zh-CN"/>
              </w:rPr>
              <w:t>曹俊萍</w:t>
            </w:r>
          </w:p>
        </w:tc>
        <w:tc>
          <w:tcPr>
            <w:tcW w:w="1213" w:type="dxa"/>
            <w:vMerge w:val="restart"/>
            <w:vAlign w:val="center"/>
          </w:tcPr>
          <w:p>
            <w:pPr>
              <w:jc w:val="cente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rPr>
              <w:t>审核员：</w:t>
            </w:r>
            <w:r>
              <w:rPr>
                <w:rFonts w:hint="eastAsia" w:ascii="宋体" w:hAnsi="宋体" w:eastAsia="宋体" w:cs="Times New Roman"/>
                <w:color w:val="auto"/>
                <w:sz w:val="21"/>
                <w:szCs w:val="21"/>
                <w:lang w:val="en-US" w:eastAsia="zh-CN"/>
              </w:rPr>
              <w:t>王宁敏</w:t>
            </w:r>
            <w:r>
              <w:rPr>
                <w:rFonts w:hint="eastAsia" w:ascii="宋体" w:hAnsi="宋体" w:eastAsia="宋体" w:cs="Times New Roman"/>
                <w:color w:val="auto"/>
                <w:sz w:val="21"/>
                <w:szCs w:val="21"/>
              </w:rPr>
              <w:t>（远程微信群、电话、视频等）审核时间：</w:t>
            </w:r>
            <w:r>
              <w:rPr>
                <w:rFonts w:hint="eastAsia" w:ascii="宋体" w:hAnsi="宋体" w:eastAsia="宋体" w:cs="Times New Roman"/>
                <w:color w:val="auto"/>
                <w:sz w:val="21"/>
                <w:szCs w:val="21"/>
                <w:lang w:val="en-US" w:eastAsia="zh-CN"/>
              </w:rPr>
              <w:t>202</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10</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19</w:t>
            </w:r>
            <w:r>
              <w:rPr>
                <w:rFonts w:hint="eastAsia" w:ascii="宋体" w:hAnsi="宋体" w:eastAsia="宋体" w:cs="Times New Roman"/>
                <w:color w:val="auto"/>
                <w:sz w:val="21"/>
                <w:szCs w:val="21"/>
                <w:lang w:val="en-US" w:eastAsia="zh-CN"/>
              </w:rPr>
              <w:t xml:space="preserve">   </w:t>
            </w:r>
            <w:r>
              <w:rPr>
                <w:rFonts w:hint="eastAsia" w:ascii="宋体" w:hAnsi="宋体" w:cs="Times New Roman"/>
                <w:color w:val="auto"/>
                <w:sz w:val="21"/>
                <w:szCs w:val="21"/>
                <w:lang w:val="en-US" w:eastAsia="zh-CN"/>
              </w:rPr>
              <w:t>13</w:t>
            </w:r>
            <w:r>
              <w:rPr>
                <w:rFonts w:hint="eastAsia" w:ascii="宋体" w:hAnsi="宋体" w:eastAsia="宋体" w:cs="Times New Roman"/>
                <w:color w:val="auto"/>
                <w:sz w:val="21"/>
                <w:szCs w:val="21"/>
                <w:lang w:val="en-US" w:eastAsia="zh-CN"/>
              </w:rPr>
              <w:t>:00-</w:t>
            </w:r>
            <w:r>
              <w:rPr>
                <w:rFonts w:hint="eastAsia" w:ascii="宋体" w:hAnsi="宋体" w:cs="Times New Roman"/>
                <w:color w:val="auto"/>
                <w:sz w:val="21"/>
                <w:szCs w:val="21"/>
                <w:lang w:val="en-US" w:eastAsia="zh-CN"/>
              </w:rPr>
              <w:t>16</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0</w:t>
            </w:r>
            <w:r>
              <w:rPr>
                <w:rFonts w:hint="eastAsia" w:ascii="宋体" w:hAnsi="宋体" w:eastAsia="宋体" w:cs="Times New Roman"/>
                <w:color w:val="auto"/>
                <w:sz w:val="21"/>
                <w:szCs w:val="21"/>
                <w:lang w:val="en-US" w:eastAsia="zh-CN"/>
              </w:rPr>
              <w:t>0</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rPr>
            </w:pPr>
          </w:p>
        </w:tc>
        <w:tc>
          <w:tcPr>
            <w:tcW w:w="10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firstLine="0" w:firstLineChars="0"/>
              <w:jc w:val="left"/>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rPr>
              <w:t>审核条款：5.3 组织的岗位、职责和权限、6.2 目标、能源指及其实现的策划、</w:t>
            </w:r>
            <w:r>
              <w:rPr>
                <w:rFonts w:hint="eastAsia" w:ascii="宋体" w:hAnsi="宋体" w:cs="Times New Roman"/>
                <w:color w:val="auto"/>
                <w:sz w:val="21"/>
                <w:szCs w:val="21"/>
                <w:lang w:val="en-US" w:eastAsia="zh-CN"/>
              </w:rPr>
              <w:t>7.1财务资源、</w:t>
            </w:r>
            <w:r>
              <w:rPr>
                <w:rFonts w:hint="eastAsia" w:ascii="宋体" w:hAnsi="宋体" w:eastAsia="宋体" w:cs="Times New Roman"/>
                <w:color w:val="auto"/>
                <w:sz w:val="21"/>
                <w:szCs w:val="21"/>
              </w:rPr>
              <w:t>8.1 运行的策划和控制、10.1不符合与纠正措施</w:t>
            </w:r>
            <w:r>
              <w:rPr>
                <w:rFonts w:hint="eastAsia" w:ascii="宋体" w:hAnsi="宋体" w:cs="Times New Roman"/>
                <w:color w:val="auto"/>
                <w:sz w:val="21"/>
                <w:szCs w:val="21"/>
                <w:lang w:eastAsia="zh-CN"/>
              </w:rPr>
              <w:t>。EnMS:5.3/6.2/7.1/8.1/10.1</w:t>
            </w:r>
          </w:p>
        </w:tc>
        <w:tc>
          <w:tcPr>
            <w:tcW w:w="121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1" w:hRule="atLeast"/>
        </w:trPr>
        <w:tc>
          <w:tcPr>
            <w:tcW w:w="2160" w:type="dxa"/>
          </w:tcPr>
          <w:p>
            <w:pPr>
              <w:numPr>
                <w:ilvl w:val="0"/>
                <w:numId w:val="0"/>
              </w:numPr>
              <w:rPr>
                <w:rFonts w:hint="eastAsia" w:ascii="宋体" w:hAnsi="宋体" w:eastAsia="宋体" w:cs="Times New Roman"/>
                <w:color w:val="auto"/>
                <w:sz w:val="21"/>
                <w:szCs w:val="21"/>
              </w:rPr>
            </w:pPr>
            <w:r>
              <w:rPr>
                <w:rFonts w:hint="eastAsia" w:ascii="宋体" w:hAnsi="宋体" w:cs="Times New Roman"/>
                <w:color w:val="auto"/>
                <w:sz w:val="21"/>
                <w:szCs w:val="21"/>
                <w:lang w:val="en-US" w:eastAsia="zh-CN"/>
              </w:rPr>
              <w:t>1.</w:t>
            </w:r>
            <w:r>
              <w:rPr>
                <w:rFonts w:hint="eastAsia" w:ascii="宋体" w:hAnsi="宋体" w:eastAsia="宋体" w:cs="Times New Roman"/>
                <w:color w:val="auto"/>
                <w:sz w:val="21"/>
                <w:szCs w:val="21"/>
              </w:rPr>
              <w:t>组织的岗位、职责和权限</w:t>
            </w:r>
          </w:p>
          <w:p>
            <w:pPr>
              <w:numPr>
                <w:ilvl w:val="0"/>
                <w:numId w:val="0"/>
              </w:numPr>
              <w:rPr>
                <w:color w:val="auto"/>
              </w:rPr>
            </w:pPr>
            <w:r>
              <w:rPr>
                <w:rFonts w:hint="eastAsia" w:ascii="宋体" w:hAnsi="宋体" w:eastAsia="宋体" w:cs="Times New Roman"/>
                <w:color w:val="auto"/>
                <w:sz w:val="21"/>
                <w:szCs w:val="21"/>
              </w:rPr>
              <w:t>2.能源管理目标、指标及实现措施策划适宜性；、能源职责；</w:t>
            </w:r>
          </w:p>
        </w:tc>
        <w:tc>
          <w:tcPr>
            <w:tcW w:w="960" w:type="dxa"/>
          </w:tcPr>
          <w:p>
            <w:pPr>
              <w:rPr>
                <w:rFonts w:hint="default" w:eastAsia="宋体"/>
                <w:color w:val="auto"/>
                <w:lang w:val="en-US" w:eastAsia="zh-CN"/>
              </w:rPr>
            </w:pPr>
            <w:r>
              <w:rPr>
                <w:rFonts w:hint="eastAsia" w:ascii="宋体" w:hAnsi="宋体" w:eastAsia="宋体" w:cs="Times New Roman"/>
                <w:color w:val="auto"/>
                <w:sz w:val="21"/>
                <w:szCs w:val="21"/>
              </w:rPr>
              <w:t>5.3</w:t>
            </w:r>
            <w:r>
              <w:rPr>
                <w:rFonts w:hint="eastAsia" w:ascii="宋体" w:hAnsi="宋体" w:cs="Times New Roman"/>
                <w:color w:val="auto"/>
                <w:sz w:val="21"/>
                <w:szCs w:val="21"/>
                <w:lang w:val="en-US" w:eastAsia="zh-CN"/>
              </w:rPr>
              <w:t>/6.2</w:t>
            </w:r>
          </w:p>
        </w:tc>
        <w:tc>
          <w:tcPr>
            <w:tcW w:w="10376" w:type="dxa"/>
          </w:tcPr>
          <w:p>
            <w:pPr>
              <w:numPr>
                <w:ilvl w:val="0"/>
                <w:numId w:val="0"/>
              </w:numPr>
              <w:ind w:firstLine="420" w:firstLineChars="200"/>
              <w:rPr>
                <w:rFonts w:hint="default"/>
                <w:color w:val="auto"/>
                <w:szCs w:val="22"/>
                <w:lang w:val="en-US" w:eastAsia="zh-CN"/>
              </w:rPr>
            </w:pPr>
            <w:r>
              <w:rPr>
                <w:rFonts w:hint="eastAsia"/>
                <w:color w:val="auto"/>
                <w:lang w:val="en-US" w:eastAsia="zh-CN"/>
              </w:rPr>
              <w:t>1.</w:t>
            </w:r>
            <w:r>
              <w:rPr>
                <w:rFonts w:hint="eastAsia" w:ascii="宋体" w:hAnsi="宋体" w:eastAsia="宋体" w:cs="Times New Roman"/>
                <w:color w:val="auto"/>
                <w:sz w:val="21"/>
                <w:szCs w:val="21"/>
                <w:lang w:val="en-US" w:eastAsia="zh-CN"/>
              </w:rPr>
              <w:t>财务部</w:t>
            </w:r>
            <w:r>
              <w:rPr>
                <w:rFonts w:hint="eastAsia"/>
                <w:color w:val="auto"/>
                <w:lang w:val="en-US" w:eastAsia="zh-CN"/>
              </w:rPr>
              <w:t xml:space="preserve">：领导 </w:t>
            </w:r>
            <w:r>
              <w:rPr>
                <w:rFonts w:hint="eastAsia" w:ascii="宋体" w:hAnsi="宋体" w:cs="Times New Roman"/>
                <w:color w:val="auto"/>
                <w:sz w:val="21"/>
                <w:szCs w:val="21"/>
                <w:lang w:val="en-US" w:eastAsia="zh-CN"/>
              </w:rPr>
              <w:t>魏凤麟，共3人</w:t>
            </w:r>
            <w:r>
              <w:rPr>
                <w:rFonts w:hint="eastAsia"/>
                <w:color w:val="auto"/>
                <w:lang w:val="en-US" w:eastAsia="zh-CN"/>
              </w:rPr>
              <w:t>，提供部门及岗位职责：财务部经理、会计、出纳；含财务管理、会计核算、预算管理、财务分析、财务审核、成本管理、财务监督、资金运作、完成上级领导交办的其他任务</w:t>
            </w:r>
            <w:r>
              <w:rPr>
                <w:rFonts w:hint="eastAsia"/>
                <w:color w:val="auto"/>
                <w:szCs w:val="22"/>
                <w:lang w:val="en-US" w:eastAsia="zh-CN"/>
              </w:rPr>
              <w:t>。</w:t>
            </w:r>
          </w:p>
          <w:p>
            <w:pPr>
              <w:ind w:firstLine="420"/>
              <w:rPr>
                <w:rFonts w:hint="eastAsia"/>
                <w:color w:val="auto"/>
                <w:szCs w:val="22"/>
                <w:lang w:val="en-US" w:eastAsia="zh-CN"/>
              </w:rPr>
            </w:pPr>
            <w:r>
              <w:rPr>
                <w:rFonts w:hint="eastAsia"/>
                <w:color w:val="auto"/>
                <w:szCs w:val="22"/>
                <w:lang w:val="en-US" w:eastAsia="zh-CN"/>
              </w:rPr>
              <w:t>2.提供</w:t>
            </w:r>
            <w:r>
              <w:rPr>
                <w:rFonts w:hint="eastAsia" w:ascii="宋体" w:hAnsi="宋体" w:eastAsia="宋体" w:cs="Times New Roman"/>
                <w:color w:val="auto"/>
                <w:sz w:val="21"/>
                <w:szCs w:val="21"/>
                <w:lang w:val="en-US" w:eastAsia="zh-CN"/>
              </w:rPr>
              <w:t>财务部</w:t>
            </w:r>
            <w:r>
              <w:rPr>
                <w:rFonts w:hint="eastAsia"/>
                <w:color w:val="auto"/>
                <w:szCs w:val="22"/>
                <w:lang w:val="en-US" w:eastAsia="zh-CN"/>
              </w:rPr>
              <w:t>能源管理目标</w:t>
            </w:r>
          </w:p>
          <w:p>
            <w:pPr>
              <w:ind w:firstLine="420" w:firstLineChars="200"/>
              <w:rPr>
                <w:rFonts w:hint="default"/>
                <w:color w:val="auto"/>
                <w:szCs w:val="22"/>
                <w:lang w:val="en-US" w:eastAsia="zh-CN"/>
              </w:rPr>
            </w:pPr>
            <w:r>
              <w:rPr>
                <w:rFonts w:hint="eastAsia"/>
                <w:color w:val="auto"/>
                <w:szCs w:val="22"/>
                <w:lang w:val="en-US" w:eastAsia="zh-CN"/>
              </w:rPr>
              <w:t>2021年、2022年能源管理体系目标指标为：保证公司的能源目标指标完成。</w:t>
            </w:r>
          </w:p>
          <w:p>
            <w:pPr>
              <w:pStyle w:val="6"/>
              <w:ind w:left="0" w:leftChars="0" w:firstLine="0" w:firstLineChars="0"/>
              <w:jc w:val="center"/>
              <w:rPr>
                <w:rFonts w:hint="eastAsia"/>
                <w:color w:val="auto"/>
                <w:lang w:val="en-US" w:eastAsia="zh-CN"/>
              </w:rPr>
            </w:pPr>
            <w:r>
              <w:drawing>
                <wp:inline distT="0" distB="0" distL="114300" distR="114300">
                  <wp:extent cx="5606415" cy="1508760"/>
                  <wp:effectExtent l="0" t="0" r="6985" b="254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5606415" cy="1508760"/>
                          </a:xfrm>
                          <a:prstGeom prst="rect">
                            <a:avLst/>
                          </a:prstGeom>
                          <a:noFill/>
                          <a:ln>
                            <a:noFill/>
                          </a:ln>
                        </pic:spPr>
                      </pic:pic>
                    </a:graphicData>
                  </a:graphic>
                </wp:inline>
              </w:drawing>
            </w:r>
          </w:p>
          <w:p>
            <w:pPr>
              <w:numPr>
                <w:ilvl w:val="0"/>
                <w:numId w:val="0"/>
              </w:numPr>
              <w:rPr>
                <w:rFonts w:hint="default"/>
                <w:color w:val="auto"/>
                <w:lang w:val="en-US" w:eastAsia="zh-CN"/>
              </w:rPr>
            </w:pPr>
            <w:r>
              <w:rPr>
                <w:rFonts w:hint="eastAsia"/>
                <w:color w:val="auto"/>
                <w:lang w:val="en-US" w:eastAsia="zh-CN"/>
              </w:rPr>
              <w:t xml:space="preserve">    </w:t>
            </w:r>
            <w:r>
              <w:rPr>
                <w:rFonts w:hint="eastAsia" w:ascii="宋体" w:hAnsi="宋体" w:eastAsia="宋体" w:cs="Times New Roman"/>
                <w:color w:val="auto"/>
                <w:sz w:val="21"/>
                <w:szCs w:val="21"/>
                <w:lang w:val="en-US" w:eastAsia="zh-CN"/>
              </w:rPr>
              <w:t>财务部</w:t>
            </w:r>
            <w:r>
              <w:rPr>
                <w:rFonts w:hint="eastAsia"/>
                <w:color w:val="auto"/>
                <w:lang w:val="en-US" w:eastAsia="zh-CN"/>
              </w:rPr>
              <w:t>基本完成目标指标，保证了能源项目的资金。</w:t>
            </w:r>
            <w:r>
              <w:rPr>
                <w:rFonts w:hint="eastAsia"/>
                <w:color w:val="FF0000"/>
                <w:sz w:val="20"/>
                <w:lang w:val="en-US" w:eastAsia="zh-CN"/>
              </w:rPr>
              <w:t>2022年1-9月份的单位产值综合能耗指标未完成——问题项</w:t>
            </w:r>
            <w:r>
              <w:rPr>
                <w:rFonts w:hint="eastAsia"/>
                <w:color w:val="auto"/>
                <w:sz w:val="20"/>
                <w:lang w:val="en-US" w:eastAsia="zh-CN"/>
              </w:rPr>
              <w:t>，已沟通。</w:t>
            </w:r>
          </w:p>
        </w:tc>
        <w:tc>
          <w:tcPr>
            <w:tcW w:w="1213" w:type="dxa"/>
          </w:tcPr>
          <w:p>
            <w:pPr>
              <w:rPr>
                <w:color w:val="auto"/>
              </w:rPr>
            </w:pPr>
          </w:p>
          <w:p>
            <w:pPr>
              <w:pStyle w:val="6"/>
              <w:rPr>
                <w:color w:val="auto"/>
              </w:rPr>
            </w:pPr>
          </w:p>
          <w:p>
            <w:pPr>
              <w:rPr>
                <w:color w:val="auto"/>
              </w:rPr>
            </w:pPr>
          </w:p>
          <w:p>
            <w:pPr>
              <w:pStyle w:val="6"/>
              <w:rPr>
                <w:color w:val="auto"/>
              </w:rPr>
            </w:pPr>
          </w:p>
          <w:p>
            <w:pPr>
              <w:rPr>
                <w:color w:val="auto"/>
              </w:rPr>
            </w:pPr>
          </w:p>
          <w:p>
            <w:pPr>
              <w:pStyle w:val="6"/>
              <w:rPr>
                <w:color w:val="auto"/>
              </w:rPr>
            </w:pPr>
          </w:p>
          <w:p>
            <w:pPr>
              <w:rPr>
                <w:color w:val="auto"/>
              </w:rPr>
            </w:pPr>
          </w:p>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numPr>
                <w:ilvl w:val="0"/>
                <w:numId w:val="0"/>
              </w:numPr>
              <w:rPr>
                <w:rFonts w:hint="eastAsia"/>
                <w:color w:val="auto"/>
                <w:lang w:val="en-US" w:eastAsia="zh-CN"/>
              </w:rPr>
            </w:pPr>
            <w:r>
              <w:rPr>
                <w:rFonts w:hint="eastAsia"/>
                <w:color w:val="auto"/>
                <w:lang w:val="en-US" w:eastAsia="zh-CN"/>
              </w:rPr>
              <w:t>3.运行的策划和控制、能源资金的策划与控制 ；</w:t>
            </w:r>
          </w:p>
          <w:p>
            <w:pPr>
              <w:numPr>
                <w:ilvl w:val="0"/>
                <w:numId w:val="0"/>
              </w:numPr>
              <w:ind w:leftChars="0"/>
              <w:rPr>
                <w:rFonts w:hint="eastAsia"/>
                <w:color w:val="auto"/>
                <w:lang w:val="en-US" w:eastAsia="zh-CN"/>
              </w:rPr>
            </w:pPr>
            <w:r>
              <w:rPr>
                <w:rFonts w:hint="eastAsia"/>
                <w:color w:val="auto"/>
                <w:lang w:val="en-US" w:eastAsia="zh-CN"/>
              </w:rPr>
              <w:t>4.不符合与纠正措施。</w:t>
            </w:r>
          </w:p>
          <w:p>
            <w:pPr>
              <w:pStyle w:val="2"/>
              <w:numPr>
                <w:ilvl w:val="0"/>
                <w:numId w:val="0"/>
              </w:numPr>
              <w:ind w:leftChars="0"/>
              <w:rPr>
                <w:rFonts w:hint="default" w:eastAsia="宋体"/>
                <w:color w:val="auto"/>
                <w:lang w:val="en-US" w:eastAsia="zh-CN"/>
              </w:rPr>
            </w:pPr>
            <w:r>
              <w:rPr>
                <w:rFonts w:hint="eastAsia" w:ascii="Times New Roman" w:hAnsi="Times New Roman" w:eastAsia="宋体" w:cs="Times New Roman"/>
                <w:color w:val="auto"/>
                <w:kern w:val="2"/>
                <w:sz w:val="21"/>
                <w:szCs w:val="20"/>
                <w:lang w:val="en-US" w:eastAsia="zh-CN" w:bidi="ar-SA"/>
              </w:rPr>
              <w:t>5.财务资源。</w:t>
            </w:r>
          </w:p>
        </w:tc>
        <w:tc>
          <w:tcPr>
            <w:tcW w:w="960" w:type="dxa"/>
          </w:tcPr>
          <w:p>
            <w:pPr>
              <w:rPr>
                <w:rFonts w:hint="default"/>
                <w:color w:val="auto"/>
                <w:lang w:val="en-US" w:eastAsia="zh-CN"/>
              </w:rPr>
            </w:pPr>
            <w:r>
              <w:rPr>
                <w:rFonts w:hint="eastAsia"/>
                <w:color w:val="auto"/>
                <w:lang w:val="en-US" w:eastAsia="zh-CN"/>
              </w:rPr>
              <w:t>8.1/7.1</w:t>
            </w:r>
          </w:p>
          <w:p>
            <w:pPr>
              <w:rPr>
                <w:rFonts w:hint="eastAsia"/>
                <w:color w:val="auto"/>
                <w:lang w:val="en-US" w:eastAsia="zh-CN"/>
              </w:rPr>
            </w:pPr>
            <w:r>
              <w:rPr>
                <w:rFonts w:hint="eastAsia"/>
                <w:color w:val="auto"/>
                <w:lang w:val="en-US" w:eastAsia="zh-CN"/>
              </w:rPr>
              <w:t>10.1/</w:t>
            </w:r>
          </w:p>
          <w:p>
            <w:pPr>
              <w:pStyle w:val="2"/>
              <w:rPr>
                <w:rFonts w:hint="eastAsia" w:ascii="宋体" w:hAnsi="宋体" w:cs="Times New Roman"/>
                <w:color w:val="auto"/>
                <w:sz w:val="21"/>
                <w:szCs w:val="21"/>
                <w:lang w:val="en-US" w:eastAsia="zh-CN"/>
              </w:rPr>
            </w:pPr>
          </w:p>
          <w:p>
            <w:pPr>
              <w:pStyle w:val="2"/>
              <w:rPr>
                <w:rFonts w:hint="default" w:ascii="宋体" w:hAnsi="宋体" w:cs="Times New Roman"/>
                <w:color w:val="auto"/>
                <w:sz w:val="21"/>
                <w:szCs w:val="21"/>
                <w:lang w:val="en-US" w:eastAsia="zh-CN"/>
              </w:rPr>
            </w:pPr>
          </w:p>
        </w:tc>
        <w:tc>
          <w:tcPr>
            <w:tcW w:w="10376" w:type="dxa"/>
          </w:tcPr>
          <w:p>
            <w:pPr>
              <w:numPr>
                <w:ilvl w:val="0"/>
                <w:numId w:val="0"/>
              </w:numPr>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1、</w:t>
            </w:r>
            <w:r>
              <w:rPr>
                <w:rFonts w:hint="eastAsia" w:ascii="Times New Roman" w:hAnsi="Times New Roman" w:eastAsia="宋体" w:cs="Times New Roman"/>
                <w:color w:val="auto"/>
                <w:lang w:val="en-US" w:eastAsia="zh-CN"/>
              </w:rPr>
              <w:t>提供</w:t>
            </w:r>
            <w:r>
              <w:rPr>
                <w:rFonts w:hint="default" w:ascii="Times New Roman" w:hAnsi="Times New Roman" w:eastAsia="宋体" w:cs="Times New Roman"/>
                <w:color w:val="auto"/>
                <w:lang w:val="en-US" w:eastAsia="zh-CN"/>
              </w:rPr>
              <w:t>制度清单：</w:t>
            </w:r>
            <w:r>
              <w:rPr>
                <w:rFonts w:hint="eastAsia" w:cs="Times New Roman"/>
                <w:color w:val="auto"/>
                <w:lang w:val="en-US" w:eastAsia="zh-CN"/>
              </w:rPr>
              <w:t>公司内部控制管理制度、财务</w:t>
            </w:r>
            <w:r>
              <w:rPr>
                <w:rFonts w:hint="default" w:ascii="Times New Roman" w:hAnsi="Times New Roman" w:eastAsia="宋体" w:cs="Times New Roman"/>
                <w:color w:val="auto"/>
                <w:lang w:val="en-US" w:eastAsia="zh-CN"/>
              </w:rPr>
              <w:t>报销管理</w:t>
            </w:r>
            <w:r>
              <w:rPr>
                <w:rFonts w:hint="eastAsia" w:cs="Times New Roman"/>
                <w:color w:val="auto"/>
                <w:lang w:val="en-US" w:eastAsia="zh-CN"/>
              </w:rPr>
              <w:t>制度</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差旅费</w:t>
            </w:r>
            <w:r>
              <w:rPr>
                <w:rFonts w:hint="eastAsia" w:cs="Times New Roman"/>
                <w:color w:val="auto"/>
                <w:lang w:val="en-US" w:eastAsia="zh-CN"/>
              </w:rPr>
              <w:t>用</w:t>
            </w:r>
            <w:r>
              <w:rPr>
                <w:rFonts w:hint="default" w:ascii="Times New Roman" w:hAnsi="Times New Roman" w:eastAsia="宋体" w:cs="Times New Roman"/>
                <w:color w:val="auto"/>
                <w:lang w:val="en-US" w:eastAsia="zh-CN"/>
              </w:rPr>
              <w:t>管理</w:t>
            </w:r>
            <w:r>
              <w:rPr>
                <w:rFonts w:hint="eastAsia" w:cs="Times New Roman"/>
                <w:color w:val="auto"/>
                <w:lang w:val="en-US" w:eastAsia="zh-CN"/>
              </w:rPr>
              <w:t>制度等</w:t>
            </w:r>
            <w:r>
              <w:rPr>
                <w:rFonts w:hint="eastAsia" w:ascii="Times New Roman" w:hAnsi="Times New Roman" w:eastAsia="宋体" w:cs="Times New Roman"/>
                <w:color w:val="auto"/>
                <w:lang w:val="en-US" w:eastAsia="zh-CN"/>
              </w:rPr>
              <w:t>。</w:t>
            </w:r>
          </w:p>
          <w:p>
            <w:pPr>
              <w:numPr>
                <w:ilvl w:val="0"/>
                <w:numId w:val="0"/>
              </w:numPr>
              <w:ind w:firstLine="420" w:firstLineChars="200"/>
              <w:rPr>
                <w:rFonts w:hint="eastAsia" w:ascii="Times New Roman" w:hAnsi="Times New Roman" w:eastAsia="宋体"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color w:val="auto"/>
                <w:lang w:val="en-US" w:eastAsia="zh-CN"/>
              </w:rPr>
              <w:t>提供</w:t>
            </w:r>
            <w:r>
              <w:rPr>
                <w:rFonts w:hint="eastAsia" w:ascii="Times New Roman" w:hAnsi="Times New Roman" w:eastAsia="宋体" w:cs="Times New Roman"/>
                <w:color w:val="auto"/>
                <w:lang w:val="en-US" w:eastAsia="zh-CN"/>
              </w:rPr>
              <w:t>2022年</w:t>
            </w:r>
            <w:r>
              <w:rPr>
                <w:rFonts w:hint="eastAsia" w:cs="Times New Roman"/>
                <w:color w:val="auto"/>
                <w:lang w:val="en-US" w:eastAsia="zh-CN"/>
              </w:rPr>
              <w:t>1-9</w:t>
            </w:r>
            <w:r>
              <w:rPr>
                <w:rFonts w:hint="eastAsia" w:ascii="Times New Roman" w:hAnsi="Times New Roman" w:eastAsia="宋体" w:cs="Times New Roman"/>
                <w:color w:val="auto"/>
                <w:lang w:val="en-US" w:eastAsia="zh-CN"/>
              </w:rPr>
              <w:t>月能源消费</w:t>
            </w:r>
            <w:r>
              <w:rPr>
                <w:rFonts w:hint="eastAsia" w:cs="Times New Roman"/>
                <w:color w:val="auto"/>
                <w:lang w:val="en-US" w:eastAsia="zh-CN"/>
              </w:rPr>
              <w:t>（水）</w:t>
            </w:r>
            <w:r>
              <w:rPr>
                <w:rFonts w:hint="eastAsia" w:ascii="Times New Roman" w:hAnsi="Times New Roman" w:eastAsia="宋体" w:cs="Times New Roman"/>
                <w:color w:val="auto"/>
                <w:lang w:val="en-US" w:eastAsia="zh-CN"/>
              </w:rPr>
              <w:t>：</w:t>
            </w:r>
            <w:bookmarkStart w:id="3" w:name="_GoBack"/>
            <w:bookmarkEnd w:id="3"/>
          </w:p>
          <w:p>
            <w:pPr>
              <w:pStyle w:val="2"/>
              <w:ind w:left="0" w:leftChars="0" w:firstLine="0" w:firstLineChars="0"/>
              <w:jc w:val="center"/>
              <w:rPr>
                <w:rFonts w:hint="eastAsia" w:eastAsia="宋体"/>
                <w:color w:val="auto"/>
                <w:sz w:val="21"/>
                <w:szCs w:val="21"/>
                <w:lang w:val="en-US" w:eastAsia="zh-CN"/>
              </w:rPr>
            </w:pPr>
            <w:r>
              <w:rPr>
                <w:color w:val="auto"/>
              </w:rPr>
              <w:drawing>
                <wp:inline distT="0" distB="0" distL="114300" distR="114300">
                  <wp:extent cx="3956685" cy="1395095"/>
                  <wp:effectExtent l="0" t="0" r="5715"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3956685" cy="1395095"/>
                          </a:xfrm>
                          <a:prstGeom prst="rect">
                            <a:avLst/>
                          </a:prstGeom>
                          <a:noFill/>
                          <a:ln>
                            <a:noFill/>
                          </a:ln>
                        </pic:spPr>
                      </pic:pic>
                    </a:graphicData>
                  </a:graphic>
                </wp:inline>
              </w:drawing>
            </w:r>
          </w:p>
          <w:p>
            <w:pPr>
              <w:rPr>
                <w:rFonts w:hint="default"/>
                <w:color w:val="auto"/>
                <w:lang w:val="en-US" w:eastAsia="zh-CN"/>
              </w:rPr>
            </w:pPr>
            <w:r>
              <w:rPr>
                <w:rFonts w:hint="eastAsia"/>
                <w:color w:val="auto"/>
                <w:lang w:val="en-US" w:eastAsia="zh-CN"/>
              </w:rPr>
              <w:t xml:space="preserve">    3、提供2022年1-9月的电费明晰。</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3780155" cy="1572895"/>
                  <wp:effectExtent l="0" t="0" r="4445"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tretch>
                            <a:fillRect/>
                          </a:stretch>
                        </pic:blipFill>
                        <pic:spPr>
                          <a:xfrm>
                            <a:off x="0" y="0"/>
                            <a:ext cx="3780155" cy="1572895"/>
                          </a:xfrm>
                          <a:prstGeom prst="rect">
                            <a:avLst/>
                          </a:prstGeom>
                          <a:noFill/>
                          <a:ln>
                            <a:noFill/>
                          </a:ln>
                        </pic:spPr>
                      </pic:pic>
                    </a:graphicData>
                  </a:graphic>
                </wp:inline>
              </w:drawing>
            </w:r>
          </w:p>
          <w:p>
            <w:pPr>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4、</w:t>
            </w:r>
            <w:r>
              <w:rPr>
                <w:rFonts w:hint="eastAsia"/>
                <w:color w:val="auto"/>
                <w:lang w:val="en-US" w:eastAsia="zh-CN"/>
              </w:rPr>
              <w:t>提供2022年1-9月的天然气费用明晰。</w:t>
            </w:r>
          </w:p>
          <w:p>
            <w:pPr>
              <w:jc w:val="center"/>
              <w:rPr>
                <w:rFonts w:hint="eastAsia" w:ascii="Times New Roman" w:hAnsi="Times New Roman" w:eastAsia="宋体" w:cs="Times New Roman"/>
                <w:color w:val="auto"/>
                <w:lang w:val="en-US" w:eastAsia="zh-CN"/>
              </w:rPr>
            </w:pPr>
            <w:r>
              <w:rPr>
                <w:color w:val="auto"/>
              </w:rPr>
              <w:drawing>
                <wp:inline distT="0" distB="0" distL="114300" distR="114300">
                  <wp:extent cx="3697605" cy="1788160"/>
                  <wp:effectExtent l="0" t="0" r="1079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5"/>
                          <a:stretch>
                            <a:fillRect/>
                          </a:stretch>
                        </pic:blipFill>
                        <pic:spPr>
                          <a:xfrm>
                            <a:off x="0" y="0"/>
                            <a:ext cx="3697605" cy="1788160"/>
                          </a:xfrm>
                          <a:prstGeom prst="rect">
                            <a:avLst/>
                          </a:prstGeom>
                          <a:noFill/>
                          <a:ln>
                            <a:noFill/>
                          </a:ln>
                        </pic:spPr>
                      </pic:pic>
                    </a:graphicData>
                  </a:graphic>
                </wp:inline>
              </w:drawing>
            </w:r>
          </w:p>
          <w:p>
            <w:pPr>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办公场所杜绝长明灯、长流水，电脑不适用时处于待机状态。夏季气温超过32℃方可开启空调，制冷温度设置不低于25℃；冬季气温低于5℃方可使用，制热温度设置不高于25℃。</w:t>
            </w:r>
          </w:p>
          <w:p>
            <w:pPr>
              <w:ind w:firstLine="420" w:firstLineChars="200"/>
              <w:rPr>
                <w:rFonts w:hint="eastAsia"/>
                <w:color w:val="auto"/>
                <w:lang w:val="en-US" w:eastAsia="zh-CN"/>
              </w:rPr>
            </w:pPr>
            <w:r>
              <w:rPr>
                <w:rFonts w:hint="eastAsia" w:ascii="Times New Roman" w:hAnsi="Times New Roman" w:eastAsia="宋体" w:cs="Times New Roman"/>
                <w:color w:val="auto"/>
                <w:lang w:val="en-US" w:eastAsia="zh-CN"/>
              </w:rPr>
              <w:t>办公区张贴节约用电和节约用水的宣传标识。能够做到人走灯息。</w:t>
            </w:r>
          </w:p>
          <w:p>
            <w:pPr>
              <w:ind w:firstLine="420" w:firstLineChars="200"/>
              <w:rPr>
                <w:rFonts w:hint="default"/>
                <w:color w:val="auto"/>
                <w:lang w:val="en-US" w:eastAsia="zh-CN"/>
              </w:rPr>
            </w:pPr>
            <w:r>
              <w:rPr>
                <w:rFonts w:hint="eastAsia"/>
                <w:color w:val="auto"/>
                <w:lang w:val="en-US" w:eastAsia="zh-CN"/>
              </w:rPr>
              <w:t>目前在能源方面的财务管理没有发生不符合。资金基本到位。</w:t>
            </w:r>
          </w:p>
        </w:tc>
        <w:tc>
          <w:tcPr>
            <w:tcW w:w="1213" w:type="dxa"/>
          </w:tcPr>
          <w:p>
            <w:pPr>
              <w:rPr>
                <w:color w:val="auto"/>
              </w:rPr>
            </w:pPr>
          </w:p>
        </w:tc>
      </w:tr>
    </w:tbl>
    <w:p>
      <w:pPr>
        <w:rPr>
          <w:color w:val="auto"/>
        </w:rPr>
      </w:pPr>
    </w:p>
    <w:p>
      <w:pPr>
        <w:pStyle w:val="4"/>
        <w:rPr>
          <w:color w:val="auto"/>
        </w:rPr>
      </w:pPr>
      <w:r>
        <w:rPr>
          <w:rFonts w:hint="eastAsia"/>
          <w:color w:val="auto"/>
        </w:rPr>
        <w:t>说明：不符合标注N</w:t>
      </w:r>
    </w:p>
    <w:p>
      <w:pPr>
        <w:pStyle w:val="4"/>
        <w:rPr>
          <w:rFonts w:hint="eastAsia"/>
          <w:color w:val="auto"/>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0" locked="0" layoutInCell="1" allowOverlap="1">
          <wp:simplePos x="0" y="0"/>
          <wp:positionH relativeFrom="column">
            <wp:posOffset>64770</wp:posOffset>
          </wp:positionH>
          <wp:positionV relativeFrom="paragraph">
            <wp:posOffset>8890</wp:posOffset>
          </wp:positionV>
          <wp:extent cx="423545" cy="426720"/>
          <wp:effectExtent l="0" t="0" r="317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23545" cy="426720"/>
                  </a:xfrm>
                  <a:prstGeom prst="rect">
                    <a:avLst/>
                  </a:prstGeom>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r>
      <mc:AlternateContent>
        <mc:Choice Requires="wps">
          <w:drawing>
            <wp:anchor distT="0" distB="0" distL="114300" distR="114300" simplePos="0" relativeHeight="251660288" behindDoc="0" locked="0" layoutInCell="1" allowOverlap="1">
              <wp:simplePos x="0" y="0"/>
              <wp:positionH relativeFrom="column">
                <wp:posOffset>7652385</wp:posOffset>
              </wp:positionH>
              <wp:positionV relativeFrom="paragraph">
                <wp:posOffset>254000</wp:posOffset>
              </wp:positionV>
              <wp:extent cx="1497965" cy="256540"/>
              <wp:effectExtent l="0" t="0" r="635" b="10160"/>
              <wp:wrapNone/>
              <wp:docPr id="6" name="文本框 1026"/>
              <wp:cNvGraphicFramePr/>
              <a:graphic xmlns:a="http://schemas.openxmlformats.org/drawingml/2006/main">
                <a:graphicData uri="http://schemas.microsoft.com/office/word/2010/wordprocessingShape">
                  <wps:wsp>
                    <wps:cNvSpPr txBox="1"/>
                    <wps:spPr>
                      <a:xfrm>
                        <a:off x="0" y="0"/>
                        <a:ext cx="1497965" cy="256540"/>
                      </a:xfrm>
                      <a:prstGeom prst="rect">
                        <a:avLst/>
                      </a:prstGeom>
                      <a:solidFill>
                        <a:srgbClr val="FFFFFF"/>
                      </a:solidFill>
                      <a:ln>
                        <a:noFill/>
                      </a:ln>
                    </wps:spPr>
                    <wps:txbx>
                      <w:txbxContent>
                        <w:p>
                          <w:pPr>
                            <w:rPr>
                              <w:sz w:val="18"/>
                              <w:szCs w:val="18"/>
                            </w:rPr>
                          </w:pPr>
                          <w:r>
                            <w:rPr>
                              <w:rFonts w:hint="eastAsia"/>
                              <w:sz w:val="18"/>
                              <w:szCs w:val="18"/>
                            </w:rPr>
                            <w:t>ISC-B-II-04(05版）</w:t>
                          </w:r>
                        </w:p>
                      </w:txbxContent>
                    </wps:txbx>
                    <wps:bodyPr upright="1"/>
                  </wps:wsp>
                </a:graphicData>
              </a:graphic>
            </wp:anchor>
          </w:drawing>
        </mc:Choice>
        <mc:Fallback>
          <w:pict>
            <v:shape id="文本框 1026" o:spid="_x0000_s1026" o:spt="202" type="#_x0000_t202" style="position:absolute;left:0pt;margin-left:602.55pt;margin-top:20pt;height:20.2pt;width:117.95pt;z-index:251660288;mso-width-relative:page;mso-height-relative:page;" fillcolor="#FFFFFF" filled="t" stroked="f" coordsize="21600,21600" o:gfxdata="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VG6AtcAAAALAQAADwAAAAAAAAABACAAAAAiAAAAZHJzL2Rvd25y&#10;ZXYueG1sUEsBAhQAFAAAAAgAh07iQMET92PGAQAAegMAAA4AAAAAAAAAAQAgAAAAJgEAAGRycy9l&#10;Mm9Eb2MueG1sUEsFBgAAAAAGAAYAWQEAAF4FAAAAAA==&#10;">
              <v:fill on="t" focussize="0,0"/>
              <v:stroke on="f"/>
              <v:imagedata o:title=""/>
              <o:lock v:ext="edit" aspectratio="f"/>
              <v:textbox>
                <w:txbxContent>
                  <w:p>
                    <w:pPr>
                      <w:rPr>
                        <w:sz w:val="18"/>
                        <w:szCs w:val="18"/>
                      </w:rPr>
                    </w:pPr>
                    <w:r>
                      <w:rPr>
                        <w:rFonts w:hint="eastAsia"/>
                        <w:sz w:val="18"/>
                        <w:szCs w:val="18"/>
                      </w:rPr>
                      <w:t>ISC-B-II-04(05版）</w:t>
                    </w:r>
                  </w:p>
                </w:txbxContent>
              </v:textbox>
            </v:shape>
          </w:pict>
        </mc:Fallback>
      </mc:AlternateContent>
    </w:r>
  </w:p>
  <w:p>
    <w:pPr>
      <w:pStyle w:val="5"/>
      <w:pBdr>
        <w:bottom w:val="none" w:color="auto" w:sz="0" w:space="1"/>
      </w:pBdr>
      <w:spacing w:line="320" w:lineRule="exact"/>
      <w:ind w:firstLine="756" w:firstLineChars="400"/>
      <w:jc w:val="left"/>
    </w:pPr>
    <w:r>
      <w:rPr>
        <w:rStyle w:val="14"/>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69D7B7"/>
    <w:multiLevelType w:val="singleLevel"/>
    <w:tmpl w:val="9C69D7B7"/>
    <w:lvl w:ilvl="0" w:tentative="0">
      <w:start w:val="2"/>
      <w:numFmt w:val="chineseCounting"/>
      <w:suff w:val="nothing"/>
      <w:lvlText w:val="%1、"/>
      <w:lvlJc w:val="left"/>
      <w:rPr>
        <w:rFonts w:hint="eastAsia"/>
      </w:rPr>
    </w:lvl>
  </w:abstractNum>
  <w:abstractNum w:abstractNumId="1">
    <w:nsid w:val="FC0A0383"/>
    <w:multiLevelType w:val="singleLevel"/>
    <w:tmpl w:val="FC0A038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iODA1MTVjZDY1YTRkN2VmNmM5OWJkMjExYmM0YjQifQ=="/>
  </w:docVars>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2C1092D"/>
    <w:rsid w:val="0475788D"/>
    <w:rsid w:val="0573302A"/>
    <w:rsid w:val="06777C6E"/>
    <w:rsid w:val="086122DA"/>
    <w:rsid w:val="0B7526A8"/>
    <w:rsid w:val="0D671DC7"/>
    <w:rsid w:val="108219C2"/>
    <w:rsid w:val="13F01EC0"/>
    <w:rsid w:val="14A1769C"/>
    <w:rsid w:val="16D974B1"/>
    <w:rsid w:val="18CB612B"/>
    <w:rsid w:val="1ADD2EA8"/>
    <w:rsid w:val="1B46487E"/>
    <w:rsid w:val="1B997199"/>
    <w:rsid w:val="1C7327BA"/>
    <w:rsid w:val="1D2C75DA"/>
    <w:rsid w:val="1E815B99"/>
    <w:rsid w:val="207E4E32"/>
    <w:rsid w:val="212345D6"/>
    <w:rsid w:val="22C85145"/>
    <w:rsid w:val="25402AA7"/>
    <w:rsid w:val="25C6426F"/>
    <w:rsid w:val="279C2B83"/>
    <w:rsid w:val="2A802988"/>
    <w:rsid w:val="2DF4595A"/>
    <w:rsid w:val="31200292"/>
    <w:rsid w:val="32334EAE"/>
    <w:rsid w:val="36993224"/>
    <w:rsid w:val="3D507775"/>
    <w:rsid w:val="3E4F4E3C"/>
    <w:rsid w:val="40932CC6"/>
    <w:rsid w:val="43C45188"/>
    <w:rsid w:val="450827B4"/>
    <w:rsid w:val="47060B1D"/>
    <w:rsid w:val="4A8A3240"/>
    <w:rsid w:val="4B1D16C3"/>
    <w:rsid w:val="4B20456C"/>
    <w:rsid w:val="4EE26D0F"/>
    <w:rsid w:val="4F4E6129"/>
    <w:rsid w:val="4FFD1A67"/>
    <w:rsid w:val="508939BE"/>
    <w:rsid w:val="58031242"/>
    <w:rsid w:val="59D93E6F"/>
    <w:rsid w:val="5A1D6551"/>
    <w:rsid w:val="5BFD0207"/>
    <w:rsid w:val="5DE40963"/>
    <w:rsid w:val="5EA12B9A"/>
    <w:rsid w:val="5EC27919"/>
    <w:rsid w:val="5F5C13F0"/>
    <w:rsid w:val="60D8693C"/>
    <w:rsid w:val="62AD16C8"/>
    <w:rsid w:val="62F24F2F"/>
    <w:rsid w:val="650A78D6"/>
    <w:rsid w:val="6BA030D9"/>
    <w:rsid w:val="6CAA131E"/>
    <w:rsid w:val="6DBF172F"/>
    <w:rsid w:val="6EA53E77"/>
    <w:rsid w:val="70FE0D10"/>
    <w:rsid w:val="7162598C"/>
    <w:rsid w:val="71646301"/>
    <w:rsid w:val="7257141B"/>
    <w:rsid w:val="73F237BB"/>
    <w:rsid w:val="77CB54B8"/>
    <w:rsid w:val="78E67034"/>
    <w:rsid w:val="7BAB3F3E"/>
    <w:rsid w:val="7E155C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eastAsia="华文细黑"/>
      <w:sz w:val="24"/>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table of figures"/>
    <w:basedOn w:val="1"/>
    <w:next w:val="1"/>
    <w:qFormat/>
    <w:uiPriority w:val="0"/>
    <w:pPr>
      <w:ind w:left="200" w:leftChars="200" w:hanging="200" w:hangingChars="200"/>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表格文字"/>
    <w:basedOn w:val="1"/>
    <w:qFormat/>
    <w:uiPriority w:val="0"/>
    <w:pPr>
      <w:spacing w:before="25" w:after="25"/>
    </w:pPr>
    <w:rPr>
      <w:bCs/>
      <w:spacing w:val="10"/>
    </w:rPr>
  </w:style>
  <w:style w:type="character" w:customStyle="1" w:styleId="11">
    <w:name w:val="页眉 字符"/>
    <w:basedOn w:val="9"/>
    <w:link w:val="5"/>
    <w:qFormat/>
    <w:uiPriority w:val="99"/>
    <w:rPr>
      <w:rFonts w:ascii="Times New Roman" w:hAnsi="Times New Roman" w:eastAsia="宋体" w:cs="Times New Roman"/>
      <w:sz w:val="18"/>
      <w:szCs w:val="18"/>
    </w:rPr>
  </w:style>
  <w:style w:type="character" w:customStyle="1" w:styleId="12">
    <w:name w:val="页脚 字符"/>
    <w:basedOn w:val="9"/>
    <w:link w:val="4"/>
    <w:qFormat/>
    <w:uiPriority w:val="99"/>
    <w:rPr>
      <w:rFonts w:ascii="Times New Roman" w:hAnsi="Times New Roman" w:eastAsia="宋体" w:cs="Times New Roman"/>
      <w:sz w:val="18"/>
      <w:szCs w:val="18"/>
    </w:rPr>
  </w:style>
  <w:style w:type="character" w:customStyle="1" w:styleId="13">
    <w:name w:val="批注框文本 字符"/>
    <w:basedOn w:val="9"/>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3449</Words>
  <Characters>3725</Characters>
  <Lines>1</Lines>
  <Paragraphs>1</Paragraphs>
  <TotalTime>0</TotalTime>
  <ScaleCrop>false</ScaleCrop>
  <LinksUpToDate>false</LinksUpToDate>
  <CharactersWithSpaces>3793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2022-10-19T03:47:51Z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9DD264FD2E5C4F0B937E53045941BE07</vt:lpwstr>
  </property>
</Properties>
</file>