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7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四川祥和鸟服饰有限公司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</w:rPr>
              <w:t xml:space="preserve">                 陪同人员：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王晴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李丽英  </w:t>
            </w:r>
            <w:r>
              <w:rPr>
                <w:rFonts w:hint="eastAsia"/>
                <w:color w:val="000000"/>
                <w:sz w:val="24"/>
                <w:szCs w:val="24"/>
              </w:rPr>
              <w:t>王宁敏</w:t>
            </w:r>
            <w:bookmarkEnd w:id="1"/>
            <w:r>
              <w:rPr>
                <w:rFonts w:hint="eastAsia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远程审核采用微信、腾讯会议、视频、电话、文件传输等工具</w:t>
            </w:r>
            <w:r>
              <w:rPr>
                <w:rFonts w:hint="eastAsia"/>
                <w:color w:val="000000"/>
                <w:sz w:val="24"/>
                <w:szCs w:val="24"/>
              </w:rPr>
              <w:t xml:space="preserve">               </w:t>
            </w:r>
          </w:p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审核时间：</w:t>
            </w:r>
            <w:bookmarkStart w:id="2" w:name="审核日期"/>
            <w:r>
              <w:rPr>
                <w:color w:val="000000"/>
              </w:rPr>
              <w:t>2022年10月17日 上午至2022年10月17日 下午</w:t>
            </w:r>
            <w:bookmarkEnd w:id="2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复印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：915101157092156151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1998年3月27日至长期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设计、生产、加工、销售:西服、衬衣、制服、酒店服、休闲服、劳保服装、羽绒服、户外运动服、校服、毛制大衣、防风衣、T恤服饰、床上用品、特种劳动防护服、医用服装、反光背心、雨衣、口罩、皮鞋、特种劳动防护用品、棉及化纤制品、无纺布制品、针纺织品;销售:日用百货、安全网、安全带、化工产品(不含危险品)、警用器械、一类医疗器械、二类医疗器械;普通货物道路运输;货物进出口。(依法须经批准的项目，经相关部门批准后方可展开经营活动)。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认证申请范围：</w:t>
            </w:r>
            <w:bookmarkStart w:id="3" w:name="审核范围"/>
            <w:r>
              <w:rPr>
                <w:rFonts w:hint="eastAsia" w:ascii="宋体" w:hAnsi="宋体" w:eastAsia="宋体" w:cs="Times New Roman"/>
                <w:b/>
                <w:sz w:val="21"/>
                <w:szCs w:val="21"/>
              </w:rPr>
              <w:t>西服、衬衫、职业标志服、一般防护服、特种防护服（阻燃、防酸碱、防静电）的设计、开发、生产和售后</w:t>
            </w:r>
            <w:bookmarkEnd w:id="3"/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rFonts w:hint="default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审核企业的认证范围有变更：变更后的认证范围为：</w:t>
            </w:r>
            <w:r>
              <w:rPr>
                <w:rFonts w:hint="eastAsia" w:ascii="宋体" w:hAnsi="宋体"/>
                <w:b/>
                <w:color w:val="000000"/>
                <w:szCs w:val="21"/>
              </w:rPr>
              <w:t>西服、衬衫、职业标志服、一般防护服、特种防护服（阻燃、防酸碱、防静电）、校服、大衣、防寒服（含羽绒服）和户外服（含冲锋衣)的生产所涉及的能源管理活动</w:t>
            </w:r>
            <w:r>
              <w:rPr>
                <w:rFonts w:hint="eastAsia" w:ascii="宋体" w:hAnsi="宋体"/>
                <w:b/>
                <w:color w:val="000000"/>
                <w:szCs w:val="21"/>
                <w:lang w:eastAsia="zh-CN"/>
              </w:rPr>
              <w:t>。</w:t>
            </w:r>
            <w:r>
              <w:rPr>
                <w:rFonts w:hint="eastAsia" w:ascii="宋体" w:hAnsi="宋体"/>
                <w:b/>
                <w:color w:val="000000"/>
                <w:szCs w:val="21"/>
                <w:lang w:val="en-US" w:eastAsia="zh-CN"/>
              </w:rPr>
              <w:t>见认证信息变更传递单。</w:t>
            </w:r>
          </w:p>
          <w:p>
            <w:pPr>
              <w:rPr>
                <w:color w:val="000000"/>
              </w:rPr>
            </w:pPr>
            <w:r>
              <w:drawing>
                <wp:inline distT="0" distB="0" distL="114300" distR="114300">
                  <wp:extent cx="4146550" cy="2483485"/>
                  <wp:effectExtent l="0" t="0" r="6350" b="571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0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特种劳动防护用品安全标志证书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》</w:t>
            </w:r>
            <w:r>
              <w:rPr>
                <w:rFonts w:hint="eastAsia"/>
                <w:color w:val="000000"/>
                <w:szCs w:val="21"/>
              </w:rPr>
              <w:t>——：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LA-2009-0977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至2023年2月7日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1981200</wp:posOffset>
                  </wp:positionH>
                  <wp:positionV relativeFrom="paragraph">
                    <wp:posOffset>160020</wp:posOffset>
                  </wp:positionV>
                  <wp:extent cx="1619250" cy="1994535"/>
                  <wp:effectExtent l="0" t="0" r="6350" b="12065"/>
                  <wp:wrapSquare wrapText="bothSides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158115</wp:posOffset>
                  </wp:positionV>
                  <wp:extent cx="1670050" cy="2018665"/>
                  <wp:effectExtent l="0" t="0" r="6350" b="635"/>
                  <wp:wrapSquare wrapText="bothSides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</w:rPr>
            </w:pPr>
          </w:p>
          <w:p>
            <w:pPr>
              <w:spacing w:line="440" w:lineRule="exact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注册地址：</w:t>
            </w:r>
            <w:bookmarkStart w:id="4" w:name="注册地址"/>
            <w:r>
              <w:rPr>
                <w:sz w:val="21"/>
                <w:szCs w:val="21"/>
              </w:rPr>
              <w:t>成都市温江区成都海峡两岸科技产业开发园温泉大道</w:t>
            </w:r>
            <w:bookmarkEnd w:id="4"/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与《营业执照》和《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特种劳动防护用品安全标志证书</w:t>
            </w:r>
            <w:r>
              <w:rPr>
                <w:rFonts w:hint="eastAsia"/>
                <w:color w:val="000000"/>
              </w:rPr>
              <w:t>》内容一致。</w:t>
            </w:r>
          </w:p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drawing>
                <wp:inline distT="0" distB="0" distL="114300" distR="114300">
                  <wp:extent cx="3780155" cy="1647825"/>
                  <wp:effectExtent l="0" t="0" r="4445" b="3175"/>
                  <wp:docPr id="2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15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22400" cy="1714500"/>
                  <wp:effectExtent l="0" t="0" r="0" b="0"/>
                  <wp:docPr id="2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</w:rPr>
              <w:t>经营地址：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成都市温江区成都海峡两岸科技产业开发园温泉大道三段檬桥路558号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有变更，</w:t>
            </w:r>
            <w:r>
              <w:rPr>
                <w:rFonts w:hint="eastAsia" w:ascii="宋体" w:hAnsi="宋体"/>
                <w:b/>
                <w:color w:val="000000"/>
                <w:szCs w:val="21"/>
                <w:lang w:val="en-US" w:eastAsia="zh-CN"/>
              </w:rPr>
              <w:t>见认证信息变更传递单。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内容不同</w:t>
            </w:r>
            <w:r>
              <w:rPr>
                <w:rFonts w:hint="eastAsia"/>
                <w:color w:val="000000"/>
                <w:lang w:eastAsia="zh-CN"/>
              </w:rPr>
              <w:t>，</w:t>
            </w:r>
            <w:r>
              <w:rPr>
                <w:rFonts w:hint="eastAsia"/>
                <w:color w:val="000000"/>
                <w:lang w:val="en-US" w:eastAsia="zh-CN"/>
              </w:rPr>
              <w:t>有变更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  <w:r>
              <w:rPr>
                <w:rFonts w:hint="eastAsia"/>
                <w:color w:val="000000"/>
                <w:lang w:val="en-US" w:eastAsia="zh-CN"/>
              </w:rPr>
              <w:t>无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>生产/服务流程图：</w:t>
            </w:r>
          </w:p>
          <w:p>
            <w:pPr>
              <w:rPr>
                <w:rFonts w:hint="eastAsia"/>
                <w:color w:val="000000"/>
              </w:rPr>
            </w:pPr>
            <w:r>
              <w:rPr>
                <w:color w:val="000000"/>
                <w:szCs w:val="18"/>
              </w:rPr>
              <w:pict>
                <v:shape id="文本框 111" o:spid="_x0000_s2050" o:spt="202" type="#_x0000_t202" style="position:absolute;left:0pt;margin-left:253.65pt;margin-top:15.3pt;height:22.35pt;width:50.6pt;z-index:251680768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整烫</w:t>
                        </w:r>
                      </w:p>
                    </w:txbxContent>
                  </v:textbox>
                </v:shape>
              </w:pict>
            </w:r>
            <w:r>
              <w:rPr>
                <w:color w:val="000000"/>
              </w:rPr>
              <w:pict>
                <v:shape id="文本框 82" o:spid="_x0000_s2051" o:spt="202" type="#_x0000_t202" style="position:absolute;left:0pt;margin-left:171.55pt;margin-top:15.2pt;height:23.85pt;width:50.6pt;z-index:251691008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缝制</w:t>
                        </w:r>
                      </w:p>
                    </w:txbxContent>
                  </v:textbox>
                </v:shape>
              </w:pict>
            </w:r>
            <w:r>
              <w:rPr>
                <w:color w:val="000000"/>
              </w:rPr>
              <w:pict>
                <v:shape id="文本框 104" o:spid="_x0000_s2052" o:spt="202" type="#_x0000_t202" style="position:absolute;left:0pt;margin-left:87.15pt;margin-top:15.4pt;height:21.8pt;width:50.6pt;z-index:251688960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裁剪</w:t>
                        </w:r>
                      </w:p>
                    </w:txbxContent>
                  </v:textbox>
                </v:shape>
              </w:pict>
            </w: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</w:rPr>
              <w:pict>
                <v:shape id="自选图形 107" o:spid="_x0000_s2053" o:spt="32" type="#_x0000_t32" style="position:absolute;left:0pt;margin-left:462.45pt;margin-top:10.65pt;height:0pt;width:30pt;z-index:251685888;mso-width-relative:page;mso-height-relative:page;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color w:val="000000"/>
              </w:rPr>
              <w:pict>
                <v:shape id="自选图形 109" o:spid="_x0000_s2054" o:spt="32" type="#_x0000_t32" style="position:absolute;left:0pt;margin-left:385.85pt;margin-top:8.65pt;height:0pt;width:30pt;z-index:251683840;mso-width-relative:page;mso-height-relative:page;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color w:val="000000"/>
              </w:rPr>
              <w:pict>
                <v:shape id="文本框 112" o:spid="_x0000_s2055" o:spt="202" type="#_x0000_t202" style="position:absolute;left:0pt;margin-left:-4.1pt;margin-top:0.1pt;height:22.9pt;width:60.6pt;z-index:251686912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外购面料</w:t>
                        </w:r>
                      </w:p>
                    </w:txbxContent>
                  </v:textbox>
                </v:shape>
              </w:pict>
            </w:r>
            <w:r>
              <w:rPr>
                <w:color w:val="000000"/>
              </w:rPr>
              <w:pict>
                <v:shape id="文本框 108" o:spid="_x0000_s2056" o:spt="202" type="#_x0000_t202" style="position:absolute;left:0pt;margin-left:335pt;margin-top:0.6pt;height:22.9pt;width:50.6pt;z-index:251682816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包装</w:t>
                        </w:r>
                      </w:p>
                    </w:txbxContent>
                  </v:textbox>
                </v:shape>
              </w:pict>
            </w:r>
            <w:r>
              <w:rPr>
                <w:color w:val="000000"/>
              </w:rPr>
              <w:pict>
                <v:shape id="文本框 106" o:spid="_x0000_s2057" o:spt="202" type="#_x0000_t202" style="position:absolute;left:0pt;margin-left:418.1pt;margin-top:0.1pt;height:25.35pt;width:40.65pt;z-index:2516848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出库</w:t>
                        </w:r>
                      </w:p>
                    </w:txbxContent>
                  </v:textbox>
                </v:shape>
              </w:pict>
            </w:r>
            <w:r>
              <w:rPr>
                <w:color w:val="000000"/>
                <w:szCs w:val="18"/>
              </w:rPr>
              <w:pict>
                <v:shape id="自选图形 110" o:spid="_x0000_s2058" o:spt="32" type="#_x0000_t32" style="position:absolute;left:0pt;margin-left:303.5pt;margin-top:9.75pt;height:0pt;width:30pt;z-index:251681792;mso-width-relative:page;mso-height-relative:page;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color w:val="000000"/>
              </w:rPr>
              <w:pict>
                <v:shape id="自选图形 103" o:spid="_x0000_s2059" o:spt="32" type="#_x0000_t32" style="position:absolute;left:0pt;margin-left:222.4pt;margin-top:7.65pt;height:0pt;width:30pt;z-index:251692032;mso-width-relative:page;mso-height-relative:page;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color w:val="000000"/>
              </w:rPr>
              <w:pict>
                <v:shape id="自选图形 105" o:spid="_x0000_s2060" o:spt="32" type="#_x0000_t32" style="position:absolute;left:0pt;margin-left:138.5pt;margin-top:6.85pt;height:0pt;width:30pt;z-index:251689984;mso-width-relative:page;mso-height-relative:page;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  <w:r>
              <w:rPr>
                <w:color w:val="000000"/>
              </w:rPr>
              <w:pict>
                <v:shape id="自选图形 113" o:spid="_x0000_s2061" o:spt="32" type="#_x0000_t32" style="position:absolute;left:0pt;margin-left:57.75pt;margin-top:8.65pt;height:0pt;width:30pt;z-index:251687936;mso-width-relative:page;mso-height-relative:page;" filled="f" coordsize="21600,21600">
                  <v:path arrowok="t"/>
                  <v:fill on="f" focussize="0,0"/>
                  <v:stroke endarrow="block"/>
                  <v:imagedata o:title=""/>
                  <o:lock v:ext="edit"/>
                </v:shape>
              </w:pic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认证范围内管理体系覆盖的人数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60人</w:t>
            </w:r>
            <w:r>
              <w:rPr>
                <w:rFonts w:hint="eastAsia"/>
                <w:color w:val="000000"/>
                <w:szCs w:val="21"/>
              </w:rPr>
              <w:t>（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企业</w:t>
            </w:r>
            <w:r>
              <w:rPr>
                <w:rFonts w:hint="eastAsia"/>
                <w:color w:val="000000"/>
                <w:szCs w:val="21"/>
              </w:rPr>
              <w:t>总计人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数290</w:t>
            </w:r>
            <w:r>
              <w:rPr>
                <w:rFonts w:hint="eastAsia"/>
                <w:color w:val="000000"/>
                <w:szCs w:val="21"/>
              </w:rPr>
              <w:t>）　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管理人员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15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；操作人员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45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；劳务派遣人员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；临时工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</w:t>
            </w:r>
            <w:r>
              <w:rPr>
                <w:rFonts w:hint="eastAsia"/>
                <w:color w:val="000000"/>
                <w:szCs w:val="21"/>
                <w:highlight w:val="none"/>
              </w:rPr>
              <w:t>季节工</w:t>
            </w:r>
            <w:r>
              <w:rPr>
                <w:rFonts w:hint="eastAsia"/>
                <w:color w:val="000000"/>
                <w:szCs w:val="21"/>
                <w:highlight w:val="none"/>
                <w:lang w:val="en-US" w:eastAsia="zh-CN"/>
              </w:rPr>
              <w:t>0</w:t>
            </w:r>
            <w:r>
              <w:rPr>
                <w:rFonts w:hint="eastAsia"/>
                <w:color w:val="000000"/>
                <w:szCs w:val="21"/>
                <w:highlight w:val="none"/>
              </w:rPr>
              <w:t>人</w:t>
            </w:r>
            <w:r>
              <w:rPr>
                <w:rFonts w:hint="eastAsia"/>
                <w:color w:val="000000"/>
                <w:szCs w:val="18"/>
                <w:highlight w:val="non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与申请不同</w:t>
            </w:r>
            <w:r>
              <w:rPr>
                <w:rFonts w:hint="eastAsia"/>
                <w:color w:val="000000"/>
                <w:lang w:val="en-US" w:eastAsia="zh-CN"/>
              </w:rPr>
              <w:t>已变更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单班（例如：</w:t>
            </w:r>
            <w:r>
              <w:rPr>
                <w:color w:val="000000"/>
                <w:szCs w:val="21"/>
              </w:rPr>
              <w:t>8: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3</w:t>
            </w:r>
            <w:r>
              <w:rPr>
                <w:color w:val="000000"/>
                <w:szCs w:val="21"/>
              </w:rPr>
              <w:t>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3</w:t>
            </w:r>
            <w:r>
              <w:rPr>
                <w:color w:val="000000"/>
                <w:szCs w:val="21"/>
              </w:rPr>
              <w:t>0- 1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8</w:t>
            </w:r>
            <w:r>
              <w:rPr>
                <w:color w:val="000000"/>
                <w:szCs w:val="21"/>
              </w:rPr>
              <w:t xml:space="preserve">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19：00-21:00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□双班（例如：早班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15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至今管理体系已运行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  <w:highlight w:val="none"/>
              </w:rPr>
              <w:t>年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  <w:highlight w:val="none"/>
              </w:rPr>
              <w:t>月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18"/>
                <w:highlight w:val="none"/>
              </w:rPr>
              <w:t>日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□QMS 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n</w:t>
            </w:r>
            <w:r>
              <w:rPr>
                <w:rFonts w:hint="eastAsia"/>
                <w:color w:val="000000"/>
                <w:szCs w:val="21"/>
              </w:rPr>
              <w:t xml:space="preserve">MS  □OHSMS  □FSMSMS  □HACCP  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</w:rPr>
              <w:t>□满足要求，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组织文件化的管理方针已制定，内容为：</w:t>
            </w:r>
            <w:r>
              <w:rPr>
                <w:rFonts w:hint="eastAsia" w:ascii="宋体" w:cs="宋体"/>
                <w:b/>
                <w:szCs w:val="21"/>
                <w:u w:val="none"/>
                <w:lang w:val="zh-CN"/>
              </w:rPr>
              <w:t>能源方针：</w:t>
            </w:r>
            <w:r>
              <w:rPr>
                <w:rFonts w:hint="eastAsia" w:ascii="宋体" w:cs="宋体"/>
                <w:b/>
                <w:szCs w:val="21"/>
                <w:u w:val="none"/>
              </w:rPr>
              <w:t>遵规</w:t>
            </w:r>
            <w:r>
              <w:rPr>
                <w:rFonts w:hint="eastAsia" w:ascii="宋体" w:cs="宋体"/>
                <w:b/>
                <w:szCs w:val="21"/>
                <w:u w:val="none"/>
                <w:lang w:val="zh-CN"/>
              </w:rPr>
              <w:t>守法，</w:t>
            </w:r>
            <w:r>
              <w:rPr>
                <w:rFonts w:hint="eastAsia" w:ascii="宋体" w:cs="宋体"/>
                <w:b/>
                <w:szCs w:val="21"/>
                <w:u w:val="none"/>
              </w:rPr>
              <w:t>节能降耗</w:t>
            </w:r>
            <w:r>
              <w:rPr>
                <w:rFonts w:hint="eastAsia" w:ascii="宋体" w:cs="宋体"/>
                <w:b/>
                <w:szCs w:val="21"/>
                <w:u w:val="none"/>
                <w:lang w:val="zh-CN"/>
              </w:rPr>
              <w:t>；</w:t>
            </w:r>
            <w:r>
              <w:rPr>
                <w:rFonts w:hint="eastAsia" w:ascii="宋体" w:cs="宋体"/>
                <w:b/>
                <w:szCs w:val="21"/>
                <w:u w:val="none"/>
              </w:rPr>
              <w:t>绿色环保，协调发展</w:t>
            </w: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rFonts w:hint="eastAsia"/>
                <w:color w:val="000000"/>
                <w:szCs w:val="21"/>
              </w:rPr>
              <w:t>□标语 □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rFonts w:hint="eastAsia"/>
                <w:color w:val="000000"/>
                <w:szCs w:val="21"/>
              </w:rPr>
              <w:t>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</w:t>
            </w:r>
            <w:r>
              <w:rPr>
                <w:rFonts w:hint="eastAsia"/>
                <w:color w:val="000000"/>
                <w:szCs w:val="18"/>
                <w:highlight w:val="none"/>
              </w:rPr>
              <w:t>文件化的管理目标已制定</w:t>
            </w:r>
            <w:r>
              <w:rPr>
                <w:rFonts w:hint="eastAsia"/>
                <w:color w:val="000000"/>
                <w:szCs w:val="18"/>
              </w:rPr>
              <w:t>，内容为：</w:t>
            </w:r>
          </w:p>
          <w:tbl>
            <w:tblPr>
              <w:tblStyle w:val="8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43"/>
              <w:gridCol w:w="1387"/>
              <w:gridCol w:w="3499"/>
              <w:gridCol w:w="24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 w:eastAsia="宋体"/>
                      <w:color w:val="000000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目标</w:t>
                  </w:r>
                  <w:r>
                    <w:rPr>
                      <w:rFonts w:hint="eastAsia"/>
                      <w:color w:val="000000"/>
                      <w:szCs w:val="18"/>
                      <w:lang w:val="en-US" w:eastAsia="zh-CN"/>
                    </w:rPr>
                    <w:t>(2021)</w:t>
                  </w: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考核频次</w:t>
                  </w: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计算方法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</w:rPr>
                  </w:pPr>
                  <w:r>
                    <w:rPr>
                      <w:rFonts w:hint="eastAsia"/>
                      <w:color w:val="000000"/>
                      <w:szCs w:val="18"/>
                    </w:rPr>
                    <w:t>完成情况（审核周期）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综合能耗，</w:t>
                  </w:r>
                  <w:r>
                    <w:rPr>
                      <w:rFonts w:hint="eastAsia"/>
                      <w:lang w:val="en-US" w:eastAsia="zh-CN"/>
                    </w:rPr>
                    <w:t>550</w:t>
                  </w:r>
                  <w:r>
                    <w:rPr>
                      <w:rFonts w:hint="eastAsia"/>
                    </w:rPr>
                    <w:t>tce</w:t>
                  </w:r>
                </w:p>
              </w:tc>
              <w:tc>
                <w:tcPr>
                  <w:tcW w:w="1387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3499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按照GB2589标准进行计算</w:t>
                  </w:r>
                </w:p>
              </w:tc>
              <w:tc>
                <w:tcPr>
                  <w:tcW w:w="2444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1"/>
                      <w:szCs w:val="21"/>
                      <w:lang w:val="en-US" w:eastAsia="zh-CN"/>
                    </w:rPr>
                    <w:t>513.73</w:t>
                  </w:r>
                  <w:r>
                    <w:rPr>
                      <w:rFonts w:hint="eastAsia"/>
                      <w:lang w:val="en-US" w:eastAsia="zh-CN"/>
                    </w:rPr>
                    <w:t>tce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单位产品综合能耗</w:t>
                  </w:r>
                  <w:r>
                    <w:rPr>
                      <w:rFonts w:hint="eastAsia"/>
                      <w:lang w:val="en-US" w:eastAsia="zh-CN"/>
                    </w:rPr>
                    <w:t>0.5</w:t>
                  </w:r>
                  <w:r>
                    <w:rPr>
                      <w:rFonts w:hint="eastAsia"/>
                    </w:rPr>
                    <w:t>kgce/</w:t>
                  </w:r>
                  <w:r>
                    <w:rPr>
                      <w:rFonts w:hint="eastAsia"/>
                      <w:lang w:val="en-US" w:eastAsia="zh-CN"/>
                    </w:rPr>
                    <w:t>套</w:t>
                  </w:r>
                </w:p>
              </w:tc>
              <w:tc>
                <w:tcPr>
                  <w:tcW w:w="1387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3499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按照GB2589标准进行计算</w:t>
                  </w:r>
                </w:p>
              </w:tc>
              <w:tc>
                <w:tcPr>
                  <w:tcW w:w="2444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1"/>
                      <w:szCs w:val="21"/>
                      <w:lang w:val="en-US" w:eastAsia="zh-CN"/>
                    </w:rPr>
                    <w:t>0.48</w:t>
                  </w:r>
                  <w:r>
                    <w:rPr>
                      <w:rFonts w:hint="eastAsia"/>
                    </w:rPr>
                    <w:t>kgce/</w:t>
                  </w:r>
                  <w:r>
                    <w:rPr>
                      <w:rFonts w:hint="eastAsia"/>
                      <w:lang w:val="en-US" w:eastAsia="zh-CN"/>
                    </w:rPr>
                    <w:t>套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  <w:vAlign w:val="center"/>
                </w:tcPr>
                <w:p>
                  <w:pPr>
                    <w:jc w:val="left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单位产值综合能耗</w:t>
                  </w:r>
                  <w:r>
                    <w:rPr>
                      <w:rFonts w:hint="eastAsia"/>
                      <w:lang w:val="en-US" w:eastAsia="zh-CN"/>
                    </w:rPr>
                    <w:t xml:space="preserve">20 </w:t>
                  </w:r>
                  <w:r>
                    <w:rPr>
                      <w:rFonts w:hint="eastAsia"/>
                    </w:rPr>
                    <w:t>kgce/万元</w:t>
                  </w:r>
                </w:p>
              </w:tc>
              <w:tc>
                <w:tcPr>
                  <w:tcW w:w="1387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每年</w:t>
                  </w:r>
                </w:p>
              </w:tc>
              <w:tc>
                <w:tcPr>
                  <w:tcW w:w="3499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按照GB2589标准进行计算</w:t>
                  </w:r>
                </w:p>
              </w:tc>
              <w:tc>
                <w:tcPr>
                  <w:tcW w:w="2444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  <w:r>
                    <w:rPr>
                      <w:rFonts w:hint="eastAsia" w:ascii="宋体" w:hAnsi="宋体"/>
                      <w:color w:val="auto"/>
                      <w:sz w:val="21"/>
                      <w:szCs w:val="21"/>
                      <w:lang w:val="en-US" w:eastAsia="zh-CN"/>
                    </w:rPr>
                    <w:t>19.76</w:t>
                  </w:r>
                  <w:r>
                    <w:rPr>
                      <w:rFonts w:hint="eastAsia"/>
                    </w:rPr>
                    <w:t>kgce/万元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color w:val="000000"/>
                      <w:szCs w:val="18"/>
                      <w:highlight w:val="cyan"/>
                    </w:rPr>
                  </w:pPr>
                </w:p>
              </w:tc>
              <w:tc>
                <w:tcPr>
                  <w:tcW w:w="2444" w:type="dxa"/>
                  <w:vAlign w:val="center"/>
                </w:tcPr>
                <w:p>
                  <w:pPr>
                    <w:jc w:val="center"/>
                    <w:rPr>
                      <w:rFonts w:hint="default" w:ascii="宋体" w:hAnsi="宋体" w:eastAsia="宋体" w:cs="Times New Roman"/>
                      <w:color w:val="auto"/>
                      <w:kern w:val="2"/>
                      <w:sz w:val="21"/>
                      <w:szCs w:val="21"/>
                      <w:lang w:val="en-US" w:eastAsia="zh-CN" w:bidi="ar-SA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  <w:highlight w:val="yellow"/>
              </w:rPr>
            </w:pPr>
            <w:r>
              <w:rPr>
                <w:rFonts w:hint="eastAsia"/>
                <w:color w:val="000000"/>
                <w:szCs w:val="18"/>
              </w:rPr>
              <w:t>组织的文件</w:t>
            </w:r>
            <w:r>
              <w:rPr>
                <w:rFonts w:hint="eastAsia"/>
                <w:color w:val="000000"/>
                <w:szCs w:val="18"/>
                <w:highlight w:val="none"/>
              </w:rPr>
              <w:t>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  <w:highlight w:val="none"/>
              </w:rPr>
              <w:t>-《管理手册》</w:t>
            </w:r>
            <w:r>
              <w:rPr>
                <w:rFonts w:hint="eastAsia"/>
                <w:color w:val="000000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  <w:highlight w:val="none"/>
              </w:rPr>
              <w:t>份；覆盖</w:t>
            </w:r>
            <w:r>
              <w:rPr>
                <w:rFonts w:hint="eastAsia"/>
                <w:color w:val="000000"/>
                <w:szCs w:val="18"/>
              </w:rPr>
              <w:t xml:space="preserve">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color w:val="000000"/>
                <w:spacing w:val="-2"/>
                <w:szCs w:val="21"/>
              </w:rPr>
              <w:t>E</w:t>
            </w:r>
            <w:r>
              <w:rPr>
                <w:rFonts w:hint="eastAsia"/>
                <w:color w:val="000000"/>
                <w:spacing w:val="-2"/>
                <w:szCs w:val="21"/>
                <w:lang w:val="en-US" w:eastAsia="zh-CN"/>
              </w:rPr>
              <w:t>n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-文件化的程序；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-作业文件；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7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-记录表格；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68</w:t>
            </w:r>
            <w:r>
              <w:rPr>
                <w:rFonts w:hint="eastAsia"/>
                <w:color w:val="000000"/>
                <w:szCs w:val="18"/>
              </w:rPr>
              <w:t>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22-23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不符合项报告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份、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7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ascii="Wingdings" w:hAnsi="Wingdings"/>
                <w:color w:val="000000"/>
              </w:rPr>
              <w:t>¨¨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能源目标指标完成情况：</w:t>
            </w:r>
          </w:p>
          <w:tbl>
            <w:tblPr>
              <w:tblStyle w:val="8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  <w:highlight w:val="none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highlight w:val="none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  <w:highlight w:val="none"/>
                    </w:rPr>
                  </w:pPr>
                  <w:r>
                    <w:rPr>
                      <w:rFonts w:ascii="Wingdings" w:hAnsi="Wingdings"/>
                      <w:szCs w:val="21"/>
                      <w:highlight w:val="none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  <w:highlight w:val="none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  <w:highlight w:val="none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  <w:highlight w:val="none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2021年完成</w:t>
                  </w: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rFonts w:hint="eastAsia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val="en-US" w:eastAsia="zh-CN"/>
              </w:rPr>
              <w:t>2021年1060017套</w:t>
            </w:r>
            <w:r>
              <w:rPr>
                <w:rFonts w:hint="eastAsia" w:ascii="Times New Roman" w:hAnsi="Times New Roman" w:eastAsia="宋体" w:cs="Times New Roman"/>
                <w:color w:val="000000"/>
                <w:szCs w:val="18"/>
                <w:u w:val="single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；</w:t>
            </w:r>
            <w:r>
              <w:rPr>
                <w:rFonts w:hint="eastAsia"/>
                <w:color w:val="000000"/>
                <w:szCs w:val="18"/>
              </w:rPr>
              <w:t xml:space="preserve"> 能评的产能：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pStyle w:val="15"/>
              <w:numPr>
                <w:ilvl w:val="0"/>
                <w:numId w:val="1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-了解适用的能源法律和其他要求的获取、识别和实施情况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不充分，需要完善： </w:t>
            </w:r>
            <w:r>
              <w:rPr>
                <w:rFonts w:hint="eastAsia"/>
                <w:color w:val="000000"/>
                <w:lang w:val="en-US" w:eastAsia="zh-CN"/>
              </w:rPr>
              <w:t>完善能源相关标准如：</w:t>
            </w:r>
            <w:r>
              <w:rPr>
                <w:rFonts w:hint="eastAsia"/>
                <w:color w:val="000000"/>
                <w:sz w:val="21"/>
                <w:szCs w:val="21"/>
                <w:lang w:val="en-US" w:eastAsia="zh-CN"/>
              </w:rPr>
              <w:t>综合能耗计算通则、企业节能量计算方法等已过期未更新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不足，需要完善： 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不足，需要完善： </w:t>
            </w:r>
            <w:r>
              <w:rPr>
                <w:rFonts w:hint="eastAsia"/>
                <w:color w:val="000000"/>
                <w:lang w:val="en-US" w:eastAsia="zh-CN"/>
              </w:rPr>
              <w:t>补充能源消耗占比等内容。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-近一年是否进行了技</w:t>
            </w:r>
            <w:r>
              <w:rPr>
                <w:rFonts w:hint="eastAsia"/>
                <w:color w:val="000000"/>
                <w:szCs w:val="18"/>
                <w:highlight w:val="none"/>
              </w:rPr>
              <w:t>术改进？</w:t>
            </w:r>
            <w:r>
              <w:rPr>
                <w:rFonts w:ascii="Wingdings" w:hAnsi="Wingdings"/>
                <w:color w:val="000000"/>
                <w:highlight w:val="none"/>
              </w:rPr>
              <w:sym w:font="Wingdings" w:char="00A8"/>
            </w:r>
            <w:r>
              <w:rPr>
                <w:rFonts w:hint="eastAsia"/>
                <w:color w:val="000000"/>
                <w:highlight w:val="none"/>
              </w:rPr>
              <w:t>未发生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  <w:r>
              <w:rPr>
                <w:rFonts w:hint="eastAsia"/>
                <w:u w:val="none"/>
                <w:lang w:val="en-US" w:eastAsia="zh-CN"/>
              </w:rPr>
              <w:t>冲锋衣新品设计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-能源采购包括：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Wingdings" w:hAnsi="Wingdings"/>
                <w:color w:val="000000"/>
                <w:lang w:val="en-US" w:eastAsia="zh-CN"/>
              </w:rPr>
              <w:t>新鲜</w:t>
            </w:r>
            <w:r>
              <w:rPr>
                <w:rFonts w:hint="eastAsia"/>
                <w:color w:val="000000"/>
              </w:rPr>
              <w:t xml:space="preserve">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</w:rPr>
              <w:t>了解节水情况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新鲜水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循环水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除盐水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 </w:t>
            </w:r>
          </w:p>
          <w:p>
            <w:pPr>
              <w:ind w:left="210" w:left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了解耗能设备的识别状况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了解主要耗能设备的运行效率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未测试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了解淘汰落后设备的识别情况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color w:val="000000"/>
                <w:szCs w:val="18"/>
              </w:rPr>
              <w:t>了解能耗限值达标情况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不达标，原因：————————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了解能源计量器具配备情况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用能单位        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A8"/>
            </w:r>
            <w:r>
              <w:rPr>
                <w:color w:val="000000"/>
                <w:szCs w:val="18"/>
              </w:rPr>
              <w:t>主要次级用能单位</w:t>
            </w:r>
            <w:r>
              <w:rPr>
                <w:rFonts w:hint="eastAsia"/>
                <w:color w:val="000000"/>
                <w:szCs w:val="18"/>
              </w:rPr>
              <w:t xml:space="preserve">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A8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主要用能设备        配备率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rFonts w:hint="eastAsia" w:eastAsia="宋体"/>
                <w:color w:val="000000"/>
                <w:szCs w:val="18"/>
                <w:lang w:val="en-US" w:eastAsia="zh-CN"/>
              </w:rPr>
            </w:pPr>
            <w:r>
              <w:drawing>
                <wp:inline distT="0" distB="0" distL="114300" distR="114300">
                  <wp:extent cx="2000250" cy="1867535"/>
                  <wp:effectExtent l="0" t="0" r="6350" b="12065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24990" cy="1880235"/>
                  <wp:effectExtent l="0" t="0" r="3810" b="12065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924685" cy="1874520"/>
                  <wp:effectExtent l="0" t="0" r="5715" b="5080"/>
                  <wp:docPr id="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8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企业只有贸易结算的3块表。未配备主要次级用能设备和主要用能设备。</w:t>
            </w:r>
          </w:p>
          <w:p>
            <w:pPr>
              <w:rPr>
                <w:rFonts w:hint="default"/>
                <w:color w:val="000000"/>
                <w:lang w:val="en-US" w:eastAsia="zh-CN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巡视厂区，</w:t>
            </w:r>
            <w:r>
              <w:rPr>
                <w:rFonts w:hint="eastAsia"/>
                <w:color w:val="000000"/>
                <w:szCs w:val="18"/>
              </w:rPr>
              <w:t>查看地理位置图、厂区平面图（适用时）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工业区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>商业区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生态保护区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其他——</w:t>
            </w:r>
            <w:r>
              <w:rPr>
                <w:sz w:val="21"/>
                <w:szCs w:val="21"/>
              </w:rPr>
              <w:t>科技产业开发园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巡视办公区域和生产区域的能源管理情况，是否存在：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font="Wingdings" w:char="00FE"/>
            </w:r>
            <w:r>
              <w:rPr>
                <w:rFonts w:hint="eastAsia" w:ascii="宋体" w:hAnsi="宋体" w:cs="宋体"/>
                <w:kern w:val="0"/>
                <w:szCs w:val="21"/>
              </w:rPr>
              <w:t>空调温度控制，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长明灯，</w:t>
            </w:r>
            <w:r>
              <w:rPr>
                <w:rFonts w:ascii="Wingdings" w:hAnsi="Wingdings"/>
                <w:color w:val="000000"/>
                <w:szCs w:val="21"/>
              </w:rPr>
              <w:t>¨</w:t>
            </w:r>
            <w:r>
              <w:rPr>
                <w:rFonts w:hint="eastAsia" w:ascii="宋体" w:hAnsi="宋体" w:cs="宋体"/>
                <w:kern w:val="0"/>
                <w:szCs w:val="21"/>
              </w:rPr>
              <w:t>长流水；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天然气使用开关关闭；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- 巡视生产区域（厂区、车间、锅炉、</w:t>
            </w:r>
            <w:r>
              <w:rPr>
                <w:rFonts w:hint="eastAsia"/>
                <w:color w:val="000000"/>
                <w:lang w:val="en-US" w:eastAsia="zh-CN"/>
              </w:rPr>
              <w:t>变压器、配电柜</w:t>
            </w:r>
            <w:r>
              <w:rPr>
                <w:rFonts w:hint="eastAsia"/>
                <w:color w:val="000000"/>
              </w:rPr>
              <w:t>等），</w:t>
            </w:r>
            <w:r>
              <w:rPr>
                <w:rFonts w:hint="eastAsia"/>
                <w:color w:val="000000"/>
                <w:szCs w:val="18"/>
              </w:rPr>
              <w:t>了解能源使用的种类：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燃料油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电能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蒸汽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巡视动力设施和辅助设施的状况，关注主要用能场所：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锅炉房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加热炉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color w:val="000000"/>
              </w:rPr>
              <w:t>汽轮机</w: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color w:val="000000"/>
              </w:rPr>
              <w:t>空压机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高压配电室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低压配电室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空压站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制冷站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污水处理站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改建/扩建施工现场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食堂  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确认生产/服务流程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与提供流程图一致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与提供流程图不一致，说明： </w:t>
            </w: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观察基础设施（高耗能设备）运行完好：是否存在低负荷运行——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电动机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工业锅炉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工业炉窑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反应釜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制冷设备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泵 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 观察能源相关的监视和测量设备的种类并了解检定/校准情况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流量计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温度计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氧化锆测定仪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压力表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电表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电流表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电压表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widowControl/>
              <w:spacing w:before="40"/>
              <w:jc w:val="left"/>
              <w:rPr>
                <w:rFonts w:hint="eastAsia"/>
                <w:color w:val="000000"/>
              </w:rPr>
            </w:pPr>
            <w:r>
              <w:rPr>
                <w:rFonts w:hint="eastAsia"/>
                <w:color w:val="000000"/>
              </w:rPr>
              <w:t xml:space="preserve">- </w:t>
            </w:r>
          </w:p>
          <w:p>
            <w:pPr>
              <w:widowControl/>
              <w:spacing w:before="40"/>
              <w:jc w:val="left"/>
              <w:rPr>
                <w:rFonts w:hint="default"/>
                <w:lang w:val="en-US" w:eastAsia="zh-CN"/>
              </w:rPr>
            </w:pPr>
            <w:bookmarkStart w:id="5" w:name="_GoBack"/>
            <w:bookmarkEnd w:id="5"/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5"/>
              <w:numPr>
                <w:ilvl w:val="0"/>
                <w:numId w:val="2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 经营地址变更 </w:t>
            </w:r>
            <w:r>
              <w:rPr>
                <w:rFonts w:hint="eastAsia" w:ascii="宋体" w:hAnsi="宋体"/>
                <w:b/>
                <w:color w:val="000000"/>
                <w:szCs w:val="21"/>
                <w:lang w:val="en-US" w:eastAsia="zh-CN"/>
              </w:rPr>
              <w:t>见认证信息变更传递单。</w:t>
            </w:r>
            <w:r>
              <w:rPr>
                <w:rFonts w:hint="eastAsia"/>
                <w:color w:val="000000"/>
                <w:szCs w:val="21"/>
              </w:rPr>
              <w:t xml:space="preserve">                                  </w:t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 认证范围变更 </w:t>
            </w:r>
            <w:r>
              <w:rPr>
                <w:rFonts w:hint="eastAsia" w:ascii="宋体" w:hAnsi="宋体"/>
                <w:b/>
                <w:color w:val="000000"/>
                <w:szCs w:val="21"/>
                <w:lang w:val="en-US" w:eastAsia="zh-CN"/>
              </w:rPr>
              <w:t>见认证信息变更传递单。</w:t>
            </w:r>
            <w:r>
              <w:rPr>
                <w:rFonts w:hint="eastAsia"/>
                <w:color w:val="000000"/>
                <w:szCs w:val="21"/>
              </w:rPr>
              <w:t xml:space="preserve">                                   </w:t>
            </w:r>
          </w:p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Cs w:val="21"/>
              </w:rPr>
              <w:t xml:space="preserve"> 员工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总</w:t>
            </w:r>
            <w:r>
              <w:rPr>
                <w:rFonts w:hint="eastAsia"/>
                <w:color w:val="000000"/>
                <w:szCs w:val="21"/>
              </w:rPr>
              <w:t xml:space="preserve">人数变更  </w:t>
            </w:r>
            <w:r>
              <w:rPr>
                <w:rFonts w:hint="eastAsia" w:ascii="宋体" w:hAnsi="宋体"/>
                <w:b/>
                <w:color w:val="000000"/>
                <w:szCs w:val="21"/>
                <w:lang w:val="en-US" w:eastAsia="zh-CN"/>
              </w:rPr>
              <w:t>见认证信息变更传递单。</w:t>
            </w:r>
            <w:r>
              <w:rPr>
                <w:rFonts w:hint="eastAsia"/>
                <w:color w:val="000000"/>
                <w:szCs w:val="21"/>
              </w:rPr>
              <w:t xml:space="preserve">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识别二阶段审核的资源配置情况</w:t>
            </w:r>
          </w:p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有生产/服务现场 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□交通食宿  □劳保用品  </w:t>
            </w:r>
          </w:p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二阶段日期的可接受性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审核组成员的可接受性  </w:t>
            </w: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>一阶段的问题已整改</w:t>
            </w:r>
          </w:p>
          <w:p>
            <w:pPr>
              <w:pStyle w:val="15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sym w:font="Wingdings 2" w:char="0052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5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4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3073" o:spid="_x0000_s3073" o:spt="202" type="#_x0000_t202" style="position:absolute;left:0pt;margin-left:637.9pt;margin-top:2.6pt;height:20.2pt;width:85.7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rPr>
        <w:rStyle w:val="14"/>
        <w:rFonts w:hint="default"/>
      </w:rPr>
      <w:t>北京国标联合认证有限公司</w:t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  <w:r>
      <w:rPr>
        <w:rStyle w:val="14"/>
        <w:rFonts w:hint="default"/>
      </w:rPr>
      <w:tab/>
    </w:r>
  </w:p>
  <w:p>
    <w:pPr>
      <w:pStyle w:val="6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4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705075"/>
    <w:rsid w:val="03E11007"/>
    <w:rsid w:val="0B783141"/>
    <w:rsid w:val="14A25A18"/>
    <w:rsid w:val="26432091"/>
    <w:rsid w:val="28E2552D"/>
    <w:rsid w:val="363B6B73"/>
    <w:rsid w:val="3F493516"/>
    <w:rsid w:val="79946D2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自选图形 107"/>
        <o:r id="V:Rule2" type="connector" idref="#自选图形 109"/>
        <o:r id="V:Rule3" type="connector" idref="#自选图形 110"/>
        <o:r id="V:Rule4" type="connector" idref="#自选图形 103"/>
        <o:r id="V:Rule5" type="connector" idref="#自选图形 105"/>
        <o:r id="V:Rule6" type="connector" idref="#自选图形 11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iPriority w:val="0"/>
    <w:rPr>
      <w:sz w:val="24"/>
    </w:rPr>
  </w:style>
  <w:style w:type="paragraph" w:styleId="3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Char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1954</Words>
  <Characters>11144</Characters>
  <Lines>92</Lines>
  <Paragraphs>26</Paragraphs>
  <TotalTime>1</TotalTime>
  <ScaleCrop>false</ScaleCrop>
  <LinksUpToDate>false</LinksUpToDate>
  <CharactersWithSpaces>13072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丽英</cp:lastModifiedBy>
  <dcterms:modified xsi:type="dcterms:W3CDTF">2022-10-22T13:02:51Z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2052-11.1.0.10314</vt:lpwstr>
  </property>
</Properties>
</file>