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1119-2022-EnMS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成都格调服饰有限公司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2022年10月16日 上午至2022年10月16日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102-2013</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w:t>
            </w:r>
            <w:r>
              <w:rPr>
                <w:rFonts w:hint="eastAsia" w:ascii="宋体"/>
                <w:b/>
                <w:color w:val="0000FF"/>
                <w:szCs w:val="21"/>
              </w:rPr>
              <w:sym w:font="Wingdings 2" w:char="00A3"/>
            </w:r>
            <w:r>
              <w:rPr>
                <w:rFonts w:hint="eastAsia" w:ascii="宋体"/>
                <w:b/>
                <w:color w:val="0000FF"/>
                <w:szCs w:val="21"/>
              </w:rPr>
              <w:t>无人机</w:t>
            </w:r>
            <w:r>
              <w:rPr>
                <w:rFonts w:hint="eastAsia" w:ascii="宋体"/>
                <w:b/>
                <w:color w:val="0000FF"/>
                <w:szCs w:val="21"/>
              </w:rPr>
              <w:sym w:font="Wingdings 2" w:char="00A3"/>
            </w:r>
            <w:r>
              <w:rPr>
                <w:rFonts w:hint="eastAsia" w:ascii="宋体"/>
                <w:b/>
                <w:color w:val="0000FF"/>
                <w:szCs w:val="21"/>
              </w:rPr>
              <w:t>摄像机□可穿戴技术</w:t>
            </w:r>
            <w:r>
              <w:rPr>
                <w:rFonts w:hint="eastAsia" w:ascii="宋体"/>
                <w:b/>
                <w:color w:val="0000FF"/>
                <w:szCs w:val="21"/>
              </w:rPr>
              <w:sym w:font="Wingdings 2" w:char="0052"/>
            </w:r>
            <w:r>
              <w:rPr>
                <w:rFonts w:hint="eastAsia" w:ascii="宋体"/>
                <w:b/>
                <w:color w:val="0000FF"/>
                <w:szCs w:val="21"/>
              </w:rPr>
              <w:t>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成都格调服饰有限公司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成都市温江区海峡两岸产业开发园新华大道二段199号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610000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成都市温江区海峡两岸产业开发园新华大道二段199号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兰雪</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兰雪</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尹建</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闫朝银</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服装、针纺织品、床上用品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heme="minorHAnsi" w:hAnsiTheme="minorHAnsi" w:eastAsiaTheme="minorEastAsia" w:cstheme="minorBidi"/>
                <w:b/>
                <w:bCs/>
                <w:kern w:val="2"/>
                <w:sz w:val="21"/>
                <w:szCs w:val="22"/>
                <w:lang w:val="en-US" w:eastAsia="zh-CN" w:bidi="ar-SA"/>
              </w:rPr>
              <w:t>工艺流程：外购面料→裁剪→缝制→整烫→包装→出库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eastAsia="宋体" w:cs="Times New Roman"/>
                <w:b/>
                <w:sz w:val="21"/>
                <w:szCs w:val="21"/>
                <w:highlight w:val="none"/>
              </w:rPr>
              <w:t>服装（西服、制式服装、衬衫、大衣、西背、西裤）、针纺织品（火车座椅套、火车铺套、布艺类装饰用品）、床上用品的设计、加工、制作、销售</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A3"/>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06"/>
        <w:gridCol w:w="1630"/>
        <w:gridCol w:w="1010"/>
        <w:gridCol w:w="2230"/>
        <w:gridCol w:w="16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106"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3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01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23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60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06" w:type="dxa"/>
          </w:tcPr>
          <w:p>
            <w:pPr>
              <w:spacing w:before="40" w:after="40"/>
              <w:rPr>
                <w:rFonts w:hint="eastAsia" w:eastAsia="宋体"/>
                <w:szCs w:val="21"/>
                <w:lang w:val="en-US" w:eastAsia="zh-CN"/>
              </w:rPr>
            </w:pPr>
            <w:r>
              <w:rPr>
                <w:sz w:val="21"/>
                <w:szCs w:val="21"/>
              </w:rPr>
              <w:t>成都格调服饰有限公司</w:t>
            </w:r>
            <w:r>
              <w:rPr>
                <w:rFonts w:hint="eastAsia"/>
                <w:sz w:val="21"/>
                <w:szCs w:val="21"/>
                <w:lang w:val="en-US" w:eastAsia="zh-CN"/>
              </w:rPr>
              <w:t>/</w:t>
            </w:r>
            <w:r>
              <w:rPr>
                <w:sz w:val="21"/>
                <w:szCs w:val="21"/>
              </w:rPr>
              <w:t>成都市温江区海峡两岸产业开发园新华大道二段199号</w:t>
            </w:r>
          </w:p>
        </w:tc>
        <w:tc>
          <w:tcPr>
            <w:tcW w:w="1630" w:type="dxa"/>
          </w:tcPr>
          <w:p>
            <w:pPr>
              <w:spacing w:before="40" w:after="40"/>
              <w:rPr>
                <w:rFonts w:eastAsia="黑体"/>
                <w:szCs w:val="21"/>
                <w:lang w:val="de-DE" w:eastAsia="ja-JP"/>
              </w:rPr>
            </w:pPr>
            <w:r>
              <w:rPr>
                <w:sz w:val="21"/>
                <w:szCs w:val="21"/>
              </w:rPr>
              <w:t>成都市温江区海峡两岸产业开发园新华大道二段199号</w:t>
            </w:r>
          </w:p>
        </w:tc>
        <w:tc>
          <w:tcPr>
            <w:tcW w:w="1010" w:type="dxa"/>
            <w:vAlign w:val="center"/>
          </w:tcPr>
          <w:p>
            <w:pPr>
              <w:spacing w:before="40" w:after="40"/>
              <w:rPr>
                <w:rFonts w:hint="default"/>
                <w:sz w:val="21"/>
                <w:szCs w:val="21"/>
                <w:lang w:val="en-US" w:eastAsia="zh-CN"/>
              </w:rPr>
            </w:pPr>
            <w:r>
              <w:rPr>
                <w:rFonts w:hint="eastAsia"/>
                <w:sz w:val="21"/>
                <w:szCs w:val="21"/>
                <w:lang w:val="en-US" w:eastAsia="zh-CN"/>
              </w:rPr>
              <w:t>总人数157（能源体系50人）变更后为60人</w:t>
            </w:r>
          </w:p>
        </w:tc>
        <w:tc>
          <w:tcPr>
            <w:tcW w:w="2230" w:type="dxa"/>
            <w:vAlign w:val="center"/>
          </w:tcPr>
          <w:p>
            <w:pPr>
              <w:spacing w:before="40" w:after="40"/>
              <w:rPr>
                <w:sz w:val="21"/>
                <w:szCs w:val="21"/>
                <w:lang w:val="en-US" w:eastAsia="ja-JP"/>
              </w:rPr>
            </w:pPr>
            <w:bookmarkStart w:id="32" w:name="审核范围"/>
            <w:r>
              <w:rPr>
                <w:rFonts w:hint="eastAsia"/>
                <w:sz w:val="21"/>
                <w:szCs w:val="21"/>
              </w:rPr>
              <w:t>服装（西服、制式服装、衬衫、大衣、西背、西裤）、针纺织品（火车座椅套、火车铺套、布艺类装饰用品）、床上用品的设计、加工、制作、销售</w:t>
            </w:r>
            <w:bookmarkEnd w:id="32"/>
          </w:p>
        </w:tc>
        <w:tc>
          <w:tcPr>
            <w:tcW w:w="1601" w:type="dxa"/>
            <w:vAlign w:val="center"/>
          </w:tcPr>
          <w:p>
            <w:pPr>
              <w:spacing w:before="40" w:after="40"/>
              <w:rPr>
                <w:rFonts w:hint="eastAsia"/>
                <w:lang w:val="en-US" w:eastAsia="zh-CN"/>
              </w:rPr>
            </w:pPr>
            <w:r>
              <w:rPr>
                <w:rFonts w:hint="eastAsia"/>
                <w:lang w:val="en-US" w:eastAsia="zh-CN"/>
              </w:rPr>
              <w:t>GB/T23331-2020</w:t>
            </w:r>
          </w:p>
          <w:p>
            <w:pPr>
              <w:pStyle w:val="2"/>
              <w:rPr>
                <w:rFonts w:hint="default"/>
                <w:lang w:val="en-US" w:eastAsia="zh-CN"/>
              </w:rPr>
            </w:pPr>
            <w:r>
              <w:rPr>
                <w:rFonts w:hint="eastAsia" w:eastAsia="黑体"/>
                <w:szCs w:val="21"/>
                <w:lang w:val="en-US" w:eastAsia="zh-CN"/>
              </w:rPr>
              <w:t>RB/T102-2013</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06" w:type="dxa"/>
            <w:vAlign w:val="center"/>
          </w:tcPr>
          <w:p>
            <w:pPr>
              <w:spacing w:before="40" w:after="40"/>
              <w:rPr>
                <w:rFonts w:eastAsia="黑体"/>
                <w:szCs w:val="21"/>
                <w:lang w:eastAsia="ja-JP"/>
              </w:rPr>
            </w:pPr>
          </w:p>
        </w:tc>
        <w:tc>
          <w:tcPr>
            <w:tcW w:w="1630" w:type="dxa"/>
            <w:vAlign w:val="center"/>
          </w:tcPr>
          <w:p>
            <w:pPr>
              <w:spacing w:before="40" w:after="40"/>
              <w:rPr>
                <w:rFonts w:eastAsia="黑体"/>
                <w:szCs w:val="21"/>
                <w:lang w:eastAsia="ja-JP"/>
              </w:rPr>
            </w:pPr>
          </w:p>
        </w:tc>
        <w:tc>
          <w:tcPr>
            <w:tcW w:w="1010" w:type="dxa"/>
            <w:vAlign w:val="center"/>
          </w:tcPr>
          <w:p>
            <w:pPr>
              <w:spacing w:before="40" w:after="40"/>
              <w:rPr>
                <w:rFonts w:eastAsia="黑体"/>
                <w:szCs w:val="21"/>
                <w:lang w:eastAsia="ja-JP"/>
              </w:rPr>
            </w:pPr>
          </w:p>
        </w:tc>
        <w:tc>
          <w:tcPr>
            <w:tcW w:w="2230" w:type="dxa"/>
            <w:vAlign w:val="center"/>
          </w:tcPr>
          <w:p>
            <w:pPr>
              <w:spacing w:before="40" w:after="40"/>
              <w:rPr>
                <w:rFonts w:eastAsia="黑体"/>
                <w:szCs w:val="21"/>
                <w:lang w:eastAsia="ja-JP"/>
              </w:rPr>
            </w:pPr>
          </w:p>
        </w:tc>
        <w:tc>
          <w:tcPr>
            <w:tcW w:w="160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106" w:type="dxa"/>
            <w:vAlign w:val="center"/>
          </w:tcPr>
          <w:p>
            <w:pPr>
              <w:spacing w:before="40" w:after="40"/>
              <w:rPr>
                <w:rFonts w:eastAsia="黑体"/>
                <w:szCs w:val="21"/>
                <w:lang w:eastAsia="ja-JP"/>
              </w:rPr>
            </w:pPr>
          </w:p>
        </w:tc>
        <w:tc>
          <w:tcPr>
            <w:tcW w:w="1630" w:type="dxa"/>
            <w:vAlign w:val="center"/>
          </w:tcPr>
          <w:p>
            <w:pPr>
              <w:spacing w:before="40" w:after="40"/>
              <w:rPr>
                <w:rFonts w:eastAsia="黑体"/>
                <w:szCs w:val="21"/>
                <w:lang w:eastAsia="ja-JP"/>
              </w:rPr>
            </w:pPr>
          </w:p>
        </w:tc>
        <w:tc>
          <w:tcPr>
            <w:tcW w:w="1010" w:type="dxa"/>
            <w:vAlign w:val="center"/>
          </w:tcPr>
          <w:p>
            <w:pPr>
              <w:spacing w:before="40" w:after="40"/>
              <w:rPr>
                <w:rFonts w:eastAsia="黑体"/>
                <w:szCs w:val="21"/>
                <w:lang w:eastAsia="ja-JP"/>
              </w:rPr>
            </w:pPr>
          </w:p>
        </w:tc>
        <w:tc>
          <w:tcPr>
            <w:tcW w:w="2230" w:type="dxa"/>
            <w:vAlign w:val="center"/>
          </w:tcPr>
          <w:p>
            <w:pPr>
              <w:spacing w:before="40" w:after="40"/>
              <w:rPr>
                <w:rFonts w:eastAsia="黑体"/>
                <w:szCs w:val="21"/>
                <w:lang w:eastAsia="ja-JP"/>
              </w:rPr>
            </w:pPr>
          </w:p>
        </w:tc>
        <w:tc>
          <w:tcPr>
            <w:tcW w:w="160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106" w:type="dxa"/>
            <w:vAlign w:val="center"/>
          </w:tcPr>
          <w:p>
            <w:pPr>
              <w:spacing w:before="40" w:after="40"/>
              <w:rPr>
                <w:rFonts w:eastAsia="黑体"/>
                <w:szCs w:val="21"/>
                <w:lang w:eastAsia="ja-JP"/>
              </w:rPr>
            </w:pPr>
          </w:p>
        </w:tc>
        <w:tc>
          <w:tcPr>
            <w:tcW w:w="1630" w:type="dxa"/>
            <w:vAlign w:val="center"/>
          </w:tcPr>
          <w:p>
            <w:pPr>
              <w:spacing w:before="40" w:after="40"/>
              <w:rPr>
                <w:rFonts w:eastAsia="黑体"/>
                <w:szCs w:val="21"/>
                <w:lang w:eastAsia="ja-JP"/>
              </w:rPr>
            </w:pPr>
          </w:p>
        </w:tc>
        <w:tc>
          <w:tcPr>
            <w:tcW w:w="1010" w:type="dxa"/>
            <w:vAlign w:val="center"/>
          </w:tcPr>
          <w:p>
            <w:pPr>
              <w:spacing w:before="40" w:after="40"/>
              <w:rPr>
                <w:rFonts w:eastAsia="黑体"/>
                <w:szCs w:val="21"/>
                <w:lang w:eastAsia="ja-JP"/>
              </w:rPr>
            </w:pPr>
          </w:p>
        </w:tc>
        <w:tc>
          <w:tcPr>
            <w:tcW w:w="2230" w:type="dxa"/>
            <w:vAlign w:val="center"/>
          </w:tcPr>
          <w:p>
            <w:pPr>
              <w:spacing w:before="40" w:after="40"/>
              <w:rPr>
                <w:rFonts w:eastAsia="黑体"/>
                <w:szCs w:val="21"/>
                <w:lang w:eastAsia="ja-JP"/>
              </w:rPr>
            </w:pPr>
          </w:p>
        </w:tc>
        <w:tc>
          <w:tcPr>
            <w:tcW w:w="160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highlight w:val="none"/>
                <w:u w:val="singl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15</w:t>
            </w:r>
            <w:r>
              <w:rPr>
                <w:rFonts w:hint="eastAsia" w:ascii="宋体" w:hAnsi="宋体"/>
                <w:b/>
                <w:color w:val="000000"/>
                <w:szCs w:val="21"/>
                <w:highlight w:val="none"/>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highlight w:val="non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7</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22-23</w:t>
            </w:r>
            <w:r>
              <w:rPr>
                <w:rFonts w:hint="eastAsia" w:ascii="宋体" w:hAnsi="宋体"/>
                <w:b/>
                <w:color w:val="000000"/>
                <w:szCs w:val="21"/>
                <w:highlight w:val="none"/>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2022</w:t>
            </w:r>
            <w:r>
              <w:rPr>
                <w:rFonts w:hint="eastAsia" w:ascii="宋体" w:hAnsi="宋体" w:eastAsia="宋体"/>
                <w:color w:val="000000"/>
                <w:sz w:val="21"/>
                <w:szCs w:val="21"/>
                <w:highlight w:val="none"/>
                <w:u w:val="single"/>
                <w:lang w:val="en-US" w:eastAsia="zh-CN"/>
              </w:rPr>
              <w:t>年7月10日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bookmarkStart w:id="34" w:name="_GoBack"/>
            <w:bookmarkEnd w:id="34"/>
            <w:r>
              <w:rPr>
                <w:rFonts w:hint="eastAsia" w:ascii="宋体" w:hAnsi="宋体"/>
                <w:color w:val="000000"/>
                <w:spacing w:val="-10"/>
                <w:szCs w:val="21"/>
              </w:rPr>
              <w:sym w:font="Wingdings 2" w:char="00A3"/>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rPr>
              <w:sym w:font="Wingdings 2" w:char="0052"/>
            </w:r>
            <w:r>
              <w:rPr>
                <w:rFonts w:hint="eastAsia" w:ascii="宋体" w:hAnsi="宋体"/>
                <w:color w:val="000000"/>
                <w:szCs w:val="21"/>
                <w:lang w:val="en-US" w:eastAsia="zh-CN"/>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lang w:val="en-US" w:eastAsia="zh-CN"/>
              </w:rPr>
              <w:t>生产部</w:t>
            </w:r>
            <w:r>
              <w:rPr>
                <w:rFonts w:hint="eastAsia" w:ascii="宋体"/>
                <w:color w:val="000000"/>
                <w:spacing w:val="-10"/>
                <w:szCs w:val="21"/>
              </w:rPr>
              <w:t>、□能源计量管理，□作业现场能源使用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w:t>
            </w:r>
            <w:r>
              <w:rPr>
                <w:rFonts w:hint="eastAsia" w:ascii="宋体"/>
                <w:b/>
                <w:color w:val="000000"/>
                <w:szCs w:val="21"/>
                <w:lang w:val="en-US" w:eastAsia="zh-CN"/>
              </w:rPr>
              <w:t>10</w:t>
            </w:r>
            <w:r>
              <w:rPr>
                <w:rFonts w:hint="eastAsia" w:ascii="宋体"/>
                <w:b/>
                <w:color w:val="000000"/>
                <w:szCs w:val="21"/>
              </w:rPr>
              <w:t>-</w:t>
            </w:r>
            <w:bookmarkEnd w:id="33"/>
            <w:r>
              <w:rPr>
                <w:rFonts w:hint="eastAsia" w:ascii="宋体"/>
                <w:b/>
                <w:color w:val="000000"/>
                <w:szCs w:val="21"/>
                <w:lang w:val="en-US" w:eastAsia="zh-CN"/>
              </w:rPr>
              <w:t>18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4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1"/>
        <w:gridCol w:w="67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widowControl/>
              <w:jc w:val="left"/>
              <w:rPr>
                <w:rFonts w:ascii="宋体"/>
                <w:b/>
                <w:color w:val="000000"/>
                <w:szCs w:val="21"/>
              </w:rPr>
            </w:pPr>
            <w:r>
              <w:rPr>
                <w:rFonts w:hint="eastAsia" w:ascii="宋体" w:hAnsi="宋体"/>
                <w:b/>
                <w:color w:val="000000"/>
                <w:szCs w:val="21"/>
              </w:rPr>
              <w:t>评价项目</w:t>
            </w:r>
          </w:p>
        </w:tc>
        <w:tc>
          <w:tcPr>
            <w:tcW w:w="670" w:type="dxa"/>
          </w:tcPr>
          <w:p>
            <w:pPr>
              <w:widowControl/>
              <w:jc w:val="left"/>
              <w:rPr>
                <w:rFonts w:ascii="宋体"/>
                <w:b/>
                <w:color w:val="000000"/>
                <w:szCs w:val="21"/>
              </w:rPr>
            </w:pPr>
          </w:p>
        </w:tc>
        <w:tc>
          <w:tcPr>
            <w:tcW w:w="78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670" w:type="dxa"/>
          </w:tcPr>
          <w:p>
            <w:pPr>
              <w:rPr>
                <w:rFonts w:ascii="宋体"/>
                <w:color w:val="000000"/>
                <w:szCs w:val="21"/>
              </w:rPr>
            </w:pPr>
            <w:r>
              <w:rPr>
                <w:rFonts w:hint="eastAsia" w:ascii="宋体" w:hAnsi="宋体"/>
                <w:color w:val="000000"/>
                <w:szCs w:val="21"/>
              </w:rPr>
              <w:t>□是</w:t>
            </w:r>
          </w:p>
        </w:tc>
        <w:tc>
          <w:tcPr>
            <w:tcW w:w="78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347"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347"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347"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47"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宋体" w:hAnsi="宋体" w:eastAsia="宋体"/>
                <w:b/>
                <w:color w:val="000000"/>
                <w:szCs w:val="21"/>
                <w:lang w:val="en-US" w:eastAsia="zh-CN"/>
              </w:rPr>
            </w:pPr>
            <w:r>
              <w:rPr>
                <w:rFonts w:hint="eastAsia" w:ascii="宋体" w:hAnsi="宋体" w:eastAsia="宋体" w:cs="Times New Roman"/>
                <w:b/>
                <w:sz w:val="21"/>
                <w:szCs w:val="21"/>
                <w:highlight w:val="none"/>
              </w:rPr>
              <w:t>服装（西服、制式服装、衬衫、大衣、西背、西裤）、针纺织品（火车座椅套、火车铺套、布艺类装饰用品）、床上用品的</w:t>
            </w:r>
            <w:r>
              <w:rPr>
                <w:rFonts w:hint="eastAsia" w:ascii="宋体" w:hAnsi="宋体" w:cs="Times New Roman"/>
                <w:b/>
                <w:sz w:val="21"/>
                <w:szCs w:val="21"/>
                <w:highlight w:val="none"/>
                <w:lang w:val="en-US" w:eastAsia="zh-CN"/>
              </w:rPr>
              <w:t>生产所涉及的能源管理活动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eastAsiaTheme="minorEastAsia"/>
          <w:lang w:val="en-US" w:eastAsia="zh-CN"/>
        </w:rPr>
        <w:drawing>
          <wp:anchor distT="0" distB="0" distL="114300" distR="114300" simplePos="0" relativeHeight="251663360" behindDoc="0" locked="0" layoutInCell="1" allowOverlap="1">
            <wp:simplePos x="0" y="0"/>
            <wp:positionH relativeFrom="column">
              <wp:posOffset>4102735</wp:posOffset>
            </wp:positionH>
            <wp:positionV relativeFrom="paragraph">
              <wp:posOffset>335280</wp:posOffset>
            </wp:positionV>
            <wp:extent cx="539115" cy="353695"/>
            <wp:effectExtent l="0" t="0" r="6985" b="1905"/>
            <wp:wrapSquare wrapText="bothSides"/>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35369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1891665</wp:posOffset>
            </wp:positionH>
            <wp:positionV relativeFrom="paragraph">
              <wp:posOffset>338455</wp:posOffset>
            </wp:positionV>
            <wp:extent cx="777240" cy="374650"/>
            <wp:effectExtent l="0" t="0" r="0" b="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777240" cy="3746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2022.10.16</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4381500" cy="5492750"/>
            <wp:effectExtent l="0" t="0" r="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381500" cy="549275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成都格调服饰有限公司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noWrap w:val="0"/>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noWrap w:val="0"/>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noWrap w:val="0"/>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noWrap w:val="0"/>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noWrap w:val="0"/>
            <w:vAlign w:val="center"/>
          </w:tcPr>
          <w:p>
            <w:pPr>
              <w:pStyle w:val="8"/>
              <w:keepNext w:val="0"/>
              <w:keepLines w:val="0"/>
              <w:pageBreakBefore w:val="0"/>
              <w:widowControl w:val="0"/>
              <w:pBdr>
                <w:bottom w:val="none" w:color="auto" w:sz="0" w:space="0"/>
              </w:pBdr>
              <w:tabs>
                <w:tab w:val="center" w:pos="5737"/>
                <w:tab w:val="clear" w:pos="4153"/>
              </w:tabs>
              <w:kinsoku/>
              <w:wordWrap/>
              <w:overflowPunct/>
              <w:topLinePunct w:val="0"/>
              <w:autoSpaceDE/>
              <w:autoSpaceDN/>
              <w:bidi w:val="0"/>
              <w:adjustRightInd/>
              <w:spacing w:before="157" w:beforeLines="50" w:line="240" w:lineRule="auto"/>
              <w:jc w:val="both"/>
              <w:textAlignment w:val="auto"/>
              <w:rPr>
                <w:rFonts w:hint="default"/>
                <w:color w:val="000000"/>
                <w:sz w:val="21"/>
                <w:szCs w:val="21"/>
                <w:lang w:val="en-US" w:eastAsia="zh-CN"/>
              </w:rPr>
            </w:pPr>
            <w:r>
              <w:rPr>
                <w:rFonts w:hint="eastAsia"/>
                <w:color w:val="000000"/>
                <w:sz w:val="21"/>
                <w:szCs w:val="21"/>
                <w:lang w:val="en-US" w:eastAsia="zh-CN"/>
              </w:rPr>
              <w:t>提供的《适用的法律法规和其他要求清单》：中华人民共和国节约能源法、重点用能单位管理办法、综合能耗计算通则、企业节能量计算方法等已过期未更新。</w:t>
            </w:r>
          </w:p>
        </w:tc>
        <w:tc>
          <w:tcPr>
            <w:tcW w:w="922" w:type="dxa"/>
            <w:noWrap w:val="0"/>
            <w:vAlign w:val="center"/>
          </w:tcPr>
          <w:p>
            <w:pPr>
              <w:pStyle w:val="8"/>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En</w:t>
            </w:r>
          </w:p>
        </w:tc>
        <w:tc>
          <w:tcPr>
            <w:tcW w:w="1133" w:type="dxa"/>
            <w:noWrap w:val="0"/>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noWrap w:val="0"/>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8" w:type="dxa"/>
            <w:noWrap w:val="0"/>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noWrap w:val="0"/>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能源评审报告内容不全，需完善。</w:t>
            </w:r>
          </w:p>
        </w:tc>
        <w:tc>
          <w:tcPr>
            <w:tcW w:w="922"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noWrap w:val="0"/>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手册未体现RB标准</w:t>
            </w:r>
          </w:p>
        </w:tc>
        <w:tc>
          <w:tcPr>
            <w:tcW w:w="922"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En</w:t>
            </w: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7.5</w:t>
            </w:r>
          </w:p>
        </w:tc>
        <w:tc>
          <w:tcPr>
            <w:tcW w:w="934"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default"/>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eastAsia"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noWrap w:val="0"/>
            <w:vAlign w:val="center"/>
          </w:tcPr>
          <w:p>
            <w:pPr>
              <w:pStyle w:val="8"/>
              <w:pBdr>
                <w:bottom w:val="none" w:color="auto" w:sz="0" w:space="0"/>
              </w:pBdr>
              <w:ind w:right="600" w:rightChars="0"/>
              <w:jc w:val="both"/>
              <w:rPr>
                <w:rFonts w:hint="eastAsia"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noWrap w:val="0"/>
            <w:vAlign w:val="top"/>
          </w:tcPr>
          <w:p>
            <w:pPr>
              <w:spacing w:line="280" w:lineRule="exact"/>
              <w:rPr>
                <w:b/>
                <w:color w:val="000000"/>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774065</wp:posOffset>
                  </wp:positionH>
                  <wp:positionV relativeFrom="paragraph">
                    <wp:posOffset>81915</wp:posOffset>
                  </wp:positionV>
                  <wp:extent cx="777240" cy="234950"/>
                  <wp:effectExtent l="0" t="0" r="0" b="571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noWrap w:val="0"/>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noWrap w:val="0"/>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noWrap w:val="0"/>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710565</wp:posOffset>
                  </wp:positionH>
                  <wp:positionV relativeFrom="paragraph">
                    <wp:posOffset>150495</wp:posOffset>
                  </wp:positionV>
                  <wp:extent cx="777240" cy="234950"/>
                  <wp:effectExtent l="0" t="0" r="0" b="571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 xml:space="preserve"> 16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3F5B2FE5"/>
    <w:multiLevelType w:val="singleLevel"/>
    <w:tmpl w:val="3F5B2FE5"/>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D02B6A"/>
    <w:rsid w:val="065A5331"/>
    <w:rsid w:val="32D25098"/>
    <w:rsid w:val="4C2304DC"/>
    <w:rsid w:val="50796D75"/>
    <w:rsid w:val="5EEC2A20"/>
    <w:rsid w:val="6C527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19</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2022-10-19T03:15:04Z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