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15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039"/>
        <w:gridCol w:w="1134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45" w:type="dxa"/>
            <w:vMerge w:val="restart"/>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过程与活动、</w:t>
            </w:r>
          </w:p>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039" w:type="dxa"/>
            <w:vMerge w:val="restart"/>
            <w:vAlign w:val="center"/>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涉及</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条款</w:t>
            </w:r>
          </w:p>
        </w:tc>
        <w:tc>
          <w:tcPr>
            <w:tcW w:w="11348" w:type="dxa"/>
            <w:vAlign w:val="center"/>
          </w:tcPr>
          <w:p>
            <w:pPr>
              <w:adjustRightInd w:val="0"/>
              <w:snapToGrid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管理</w:t>
            </w:r>
            <w:r>
              <w:rPr>
                <w:rFonts w:hint="eastAsia" w:ascii="宋体" w:hAnsi="宋体" w:eastAsia="宋体" w:cs="宋体"/>
                <w:sz w:val="21"/>
                <w:szCs w:val="21"/>
              </w:rPr>
              <w:t>层         主管领导：</w:t>
            </w:r>
            <w:r>
              <w:rPr>
                <w:rFonts w:hint="eastAsia" w:ascii="宋体" w:hAnsi="宋体" w:cs="宋体"/>
                <w:sz w:val="21"/>
                <w:szCs w:val="21"/>
                <w:lang w:eastAsia="zh-CN"/>
              </w:rPr>
              <w:t>王庆山、王鹏</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cs="宋体"/>
                <w:sz w:val="21"/>
                <w:szCs w:val="21"/>
                <w:lang w:eastAsia="zh-CN"/>
              </w:rPr>
              <w:t>黄珊珊</w:t>
            </w:r>
          </w:p>
        </w:tc>
        <w:tc>
          <w:tcPr>
            <w:tcW w:w="1068" w:type="dxa"/>
            <w:vMerge w:val="restart"/>
            <w:vAlign w:val="center"/>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45" w:type="dxa"/>
            <w:vMerge w:val="continue"/>
            <w:vAlign w:val="center"/>
          </w:tcPr>
          <w:p>
            <w:pPr>
              <w:adjustRightInd w:val="0"/>
              <w:snapToGrid w:val="0"/>
              <w:spacing w:line="300" w:lineRule="exact"/>
              <w:rPr>
                <w:rFonts w:hint="eastAsia" w:ascii="宋体" w:hAnsi="宋体" w:eastAsia="宋体" w:cs="宋体"/>
                <w:sz w:val="21"/>
                <w:szCs w:val="21"/>
              </w:rPr>
            </w:pPr>
          </w:p>
        </w:tc>
        <w:tc>
          <w:tcPr>
            <w:tcW w:w="1039" w:type="dxa"/>
            <w:vMerge w:val="continue"/>
            <w:vAlign w:val="center"/>
          </w:tcPr>
          <w:p>
            <w:pPr>
              <w:adjustRightInd w:val="0"/>
              <w:snapToGrid w:val="0"/>
              <w:spacing w:line="300" w:lineRule="exact"/>
              <w:rPr>
                <w:rFonts w:hint="eastAsia" w:ascii="宋体" w:hAnsi="宋体" w:eastAsia="宋体" w:cs="宋体"/>
                <w:sz w:val="21"/>
                <w:szCs w:val="21"/>
              </w:rPr>
            </w:pPr>
          </w:p>
        </w:tc>
        <w:tc>
          <w:tcPr>
            <w:tcW w:w="11348" w:type="dxa"/>
            <w:vAlign w:val="center"/>
          </w:tcPr>
          <w:p>
            <w:pPr>
              <w:adjustRightInd w:val="0"/>
              <w:snapToGrid w:val="0"/>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杨园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审核时间：2022</w:t>
            </w:r>
            <w:r>
              <w:rPr>
                <w:rFonts w:hint="eastAsia" w:ascii="宋体" w:hAnsi="宋体" w:cs="宋体"/>
                <w:sz w:val="21"/>
                <w:szCs w:val="21"/>
                <w:lang w:eastAsia="zh-CN"/>
              </w:rPr>
              <w:t>年</w:t>
            </w:r>
            <w:r>
              <w:rPr>
                <w:rFonts w:hint="eastAsia" w:ascii="宋体" w:hAnsi="宋体" w:cs="宋体"/>
                <w:sz w:val="21"/>
                <w:szCs w:val="21"/>
                <w:lang w:val="en-US" w:eastAsia="zh-CN"/>
              </w:rPr>
              <w:t>10月21日</w:t>
            </w:r>
          </w:p>
        </w:tc>
        <w:tc>
          <w:tcPr>
            <w:tcW w:w="1068" w:type="dxa"/>
            <w:vMerge w:val="continue"/>
          </w:tcPr>
          <w:p>
            <w:pPr>
              <w:adjustRightInd w:val="0"/>
              <w:snapToGrid w:val="0"/>
              <w:spacing w:line="3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45" w:type="dxa"/>
            <w:vMerge w:val="continue"/>
            <w:vAlign w:val="center"/>
          </w:tcPr>
          <w:p>
            <w:pPr>
              <w:adjustRightInd w:val="0"/>
              <w:snapToGrid w:val="0"/>
              <w:spacing w:line="300" w:lineRule="exact"/>
              <w:rPr>
                <w:rFonts w:hint="eastAsia" w:ascii="宋体" w:hAnsi="宋体" w:eastAsia="宋体" w:cs="宋体"/>
                <w:sz w:val="21"/>
                <w:szCs w:val="21"/>
              </w:rPr>
            </w:pPr>
          </w:p>
        </w:tc>
        <w:tc>
          <w:tcPr>
            <w:tcW w:w="1039" w:type="dxa"/>
            <w:vMerge w:val="continue"/>
            <w:vAlign w:val="center"/>
          </w:tcPr>
          <w:p>
            <w:pPr>
              <w:adjustRightInd w:val="0"/>
              <w:snapToGrid w:val="0"/>
              <w:spacing w:line="300" w:lineRule="exact"/>
              <w:rPr>
                <w:rFonts w:hint="eastAsia" w:ascii="宋体" w:hAnsi="宋体" w:eastAsia="宋体" w:cs="宋体"/>
                <w:sz w:val="21"/>
                <w:szCs w:val="21"/>
              </w:rPr>
            </w:pPr>
          </w:p>
        </w:tc>
        <w:tc>
          <w:tcPr>
            <w:tcW w:w="11348" w:type="dxa"/>
            <w:vAlign w:val="center"/>
          </w:tcPr>
          <w:p>
            <w:pPr>
              <w:spacing w:line="300" w:lineRule="exact"/>
              <w:jc w:val="left"/>
              <w:rPr>
                <w:rFonts w:hint="eastAsia" w:ascii="宋体" w:hAnsi="宋体" w:eastAsia="宋体" w:cs="宋体"/>
                <w:sz w:val="21"/>
                <w:szCs w:val="21"/>
                <w:lang w:val="en-US"/>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QE</w:t>
            </w:r>
            <w:r>
              <w:rPr>
                <w:rFonts w:hint="default" w:ascii="宋体" w:hAnsi="宋体" w:eastAsia="宋体" w:cs="宋体"/>
                <w:sz w:val="21"/>
                <w:szCs w:val="21"/>
              </w:rPr>
              <w:t>6.1/6.2/7.1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9.1.1/</w:t>
            </w:r>
            <w:r>
              <w:rPr>
                <w:rFonts w:hint="eastAsia" w:ascii="宋体" w:hAnsi="宋体" w:eastAsia="宋体" w:cs="宋体"/>
                <w:sz w:val="21"/>
                <w:szCs w:val="21"/>
                <w:lang w:val="en-US" w:eastAsia="zh-CN"/>
              </w:rPr>
              <w:t>9.3</w:t>
            </w:r>
            <w:r>
              <w:rPr>
                <w:rFonts w:hint="default" w:ascii="宋体" w:hAnsi="宋体" w:eastAsia="宋体" w:cs="宋体"/>
                <w:sz w:val="21"/>
                <w:szCs w:val="21"/>
              </w:rPr>
              <w:t>/10.1/10.3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Q6.3</w:t>
            </w:r>
          </w:p>
        </w:tc>
        <w:tc>
          <w:tcPr>
            <w:tcW w:w="1068" w:type="dxa"/>
            <w:vMerge w:val="continue"/>
          </w:tcPr>
          <w:p>
            <w:pPr>
              <w:adjustRightInd w:val="0"/>
              <w:snapToGrid w:val="0"/>
              <w:spacing w:line="3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5" w:type="dxa"/>
            <w:vAlign w:val="top"/>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应对风险和机遇的措施</w:t>
            </w:r>
          </w:p>
          <w:p>
            <w:pPr>
              <w:adjustRightInd w:val="0"/>
              <w:snapToGrid w:val="0"/>
              <w:spacing w:line="300" w:lineRule="exact"/>
              <w:ind w:firstLine="210" w:firstLineChars="100"/>
              <w:rPr>
                <w:rFonts w:hint="eastAsia" w:ascii="宋体" w:hAnsi="宋体" w:eastAsia="宋体" w:cs="宋体"/>
                <w:sz w:val="21"/>
                <w:szCs w:val="21"/>
              </w:rPr>
            </w:pPr>
          </w:p>
          <w:p>
            <w:pPr>
              <w:adjustRightInd w:val="0"/>
              <w:snapToGrid w:val="0"/>
              <w:spacing w:line="300" w:lineRule="exact"/>
              <w:ind w:firstLine="210" w:firstLineChars="100"/>
              <w:rPr>
                <w:rFonts w:hint="eastAsia" w:ascii="宋体" w:hAnsi="宋体" w:eastAsia="宋体" w:cs="宋体"/>
                <w:sz w:val="21"/>
                <w:szCs w:val="21"/>
                <w:lang w:val="en-US" w:eastAsia="zh-CN"/>
              </w:rPr>
            </w:pPr>
          </w:p>
        </w:tc>
        <w:tc>
          <w:tcPr>
            <w:tcW w:w="1039" w:type="dxa"/>
            <w:vAlign w:val="top"/>
          </w:tcPr>
          <w:p>
            <w:pPr>
              <w:adjustRightInd w:val="0"/>
              <w:snapToGrid w:val="0"/>
              <w:spacing w:line="300" w:lineRule="exact"/>
              <w:jc w:val="left"/>
              <w:rPr>
                <w:rFonts w:hint="default" w:ascii="宋体" w:hAnsi="宋体" w:eastAsia="宋体" w:cs="宋体"/>
                <w:sz w:val="21"/>
                <w:szCs w:val="21"/>
                <w:lang w:val="en-US" w:eastAsia="zh-CN"/>
              </w:rPr>
            </w:pPr>
            <w:r>
              <w:rPr>
                <w:rFonts w:hint="eastAsia" w:ascii="宋体" w:hAnsi="宋体" w:eastAsia="宋体" w:cs="宋体"/>
                <w:sz w:val="21"/>
                <w:szCs w:val="21"/>
              </w:rPr>
              <w:t>Q</w:t>
            </w:r>
          </w:p>
          <w:p>
            <w:pPr>
              <w:adjustRightInd w:val="0"/>
              <w:snapToGrid w:val="0"/>
              <w:spacing w:line="300" w:lineRule="exact"/>
              <w:jc w:val="left"/>
              <w:rPr>
                <w:rFonts w:hint="eastAsia" w:ascii="宋体" w:hAnsi="宋体" w:eastAsia="宋体" w:cs="宋体"/>
                <w:sz w:val="21"/>
                <w:szCs w:val="21"/>
              </w:rPr>
            </w:pPr>
            <w:r>
              <w:rPr>
                <w:rFonts w:hint="eastAsia" w:ascii="宋体" w:hAnsi="宋体" w:eastAsia="宋体" w:cs="宋体"/>
                <w:sz w:val="21"/>
                <w:szCs w:val="21"/>
              </w:rPr>
              <w:t>6.1</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p>
          <w:p>
            <w:pPr>
              <w:adjustRightInd w:val="0"/>
              <w:snapToGrid w:val="0"/>
              <w:spacing w:line="30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6.1.1</w:t>
            </w:r>
          </w:p>
        </w:tc>
        <w:tc>
          <w:tcPr>
            <w:tcW w:w="11348" w:type="dxa"/>
            <w:vAlign w:val="top"/>
          </w:tcPr>
          <w:p>
            <w:pPr>
              <w:pStyle w:val="2"/>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查</w:t>
            </w:r>
            <w:r>
              <w:rPr>
                <w:rFonts w:hint="eastAsia" w:ascii="宋体" w:hAnsi="宋体" w:eastAsia="宋体" w:cs="宋体"/>
                <w:bCs w:val="0"/>
                <w:spacing w:val="0"/>
                <w:kern w:val="2"/>
                <w:sz w:val="21"/>
                <w:szCs w:val="21"/>
                <w:lang w:val="en-US" w:eastAsia="zh-CN" w:bidi="ar-SA"/>
              </w:rPr>
              <w:t>企业编制了《风险控制程序》</w:t>
            </w:r>
            <w:r>
              <w:rPr>
                <w:rFonts w:hint="eastAsia" w:ascii="宋体" w:hAnsi="宋体" w:cs="宋体"/>
                <w:bCs w:val="0"/>
                <w:spacing w:val="0"/>
                <w:kern w:val="2"/>
                <w:sz w:val="21"/>
                <w:szCs w:val="21"/>
                <w:lang w:val="en-US" w:eastAsia="zh-CN" w:bidi="ar-SA"/>
              </w:rPr>
              <w:t>，用于管理过程中风险和机遇的控制。</w:t>
            </w:r>
          </w:p>
          <w:p>
            <w:pPr>
              <w:adjustRightInd w:val="0"/>
              <w:snapToGrid w:val="0"/>
              <w:spacing w:line="300" w:lineRule="exact"/>
              <w:jc w:val="left"/>
              <w:rPr>
                <w:rFonts w:hint="eastAsia" w:ascii="宋体" w:hAnsi="宋体" w:eastAsia="宋体" w:cs="宋体"/>
                <w:bCs w:val="0"/>
                <w:spacing w:val="0"/>
                <w:kern w:val="2"/>
                <w:sz w:val="21"/>
                <w:szCs w:val="21"/>
                <w:lang w:val="en-US" w:eastAsia="zh-CN" w:bidi="ar-SA"/>
              </w:rPr>
            </w:pPr>
            <w:r>
              <w:rPr>
                <w:rFonts w:hint="eastAsia" w:ascii="宋体" w:hAnsi="宋体" w:cs="宋体"/>
                <w:sz w:val="21"/>
                <w:szCs w:val="21"/>
                <w:lang w:val="en-US" w:eastAsia="zh-CN"/>
              </w:rPr>
              <w:t>查企业</w:t>
            </w:r>
            <w:r>
              <w:rPr>
                <w:rFonts w:hint="eastAsia" w:ascii="宋体" w:hAnsi="宋体" w:eastAsia="宋体" w:cs="宋体"/>
                <w:bCs w:val="0"/>
                <w:spacing w:val="0"/>
                <w:kern w:val="2"/>
                <w:sz w:val="21"/>
                <w:szCs w:val="21"/>
                <w:lang w:val="en-US" w:eastAsia="zh-CN" w:bidi="ar-SA"/>
              </w:rPr>
              <w:t>编制</w:t>
            </w:r>
            <w:r>
              <w:rPr>
                <w:rFonts w:hint="eastAsia" w:ascii="宋体" w:hAnsi="宋体" w:cs="宋体"/>
                <w:bCs w:val="0"/>
                <w:spacing w:val="0"/>
                <w:kern w:val="2"/>
                <w:sz w:val="21"/>
                <w:szCs w:val="21"/>
                <w:lang w:val="en-US" w:eastAsia="zh-CN" w:bidi="ar-SA"/>
              </w:rPr>
              <w:t>有</w:t>
            </w:r>
            <w:r>
              <w:rPr>
                <w:rFonts w:hint="eastAsia" w:ascii="宋体" w:hAnsi="宋体" w:eastAsia="宋体" w:cs="宋体"/>
                <w:bCs w:val="0"/>
                <w:spacing w:val="0"/>
                <w:kern w:val="2"/>
                <w:sz w:val="21"/>
                <w:szCs w:val="21"/>
                <w:lang w:val="en-US" w:eastAsia="zh-CN" w:bidi="ar-SA"/>
              </w:rPr>
              <w:t>《风险</w:t>
            </w:r>
            <w:r>
              <w:rPr>
                <w:rFonts w:hint="eastAsia" w:ascii="宋体" w:hAnsi="宋体" w:cs="宋体"/>
                <w:bCs w:val="0"/>
                <w:spacing w:val="0"/>
                <w:kern w:val="2"/>
                <w:sz w:val="21"/>
                <w:szCs w:val="21"/>
                <w:lang w:val="en-US" w:eastAsia="zh-CN" w:bidi="ar-SA"/>
              </w:rPr>
              <w:t>和机遇评估分析表</w:t>
            </w:r>
            <w:r>
              <w:rPr>
                <w:rFonts w:hint="eastAsia" w:ascii="宋体" w:hAnsi="宋体" w:eastAsia="宋体" w:cs="宋体"/>
                <w:bCs w:val="0"/>
                <w:spacing w:val="0"/>
                <w:kern w:val="2"/>
                <w:sz w:val="21"/>
                <w:szCs w:val="21"/>
                <w:lang w:val="en-US" w:eastAsia="zh-CN" w:bidi="ar-SA"/>
              </w:rPr>
              <w:t>》，</w:t>
            </w:r>
            <w:r>
              <w:rPr>
                <w:rFonts w:hint="eastAsia" w:ascii="宋体" w:hAnsi="宋体" w:eastAsia="宋体" w:cs="宋体"/>
                <w:sz w:val="21"/>
                <w:szCs w:val="21"/>
                <w:lang w:val="en-US" w:eastAsia="zh-CN"/>
              </w:rPr>
              <w:t>针对公司现状，企业对各部门不同过程的风险及公共风险进行了识别并制定了对应的管理</w:t>
            </w:r>
            <w:r>
              <w:rPr>
                <w:rFonts w:hint="eastAsia" w:ascii="宋体" w:hAnsi="宋体" w:eastAsia="宋体" w:cs="宋体"/>
                <w:bCs w:val="0"/>
                <w:spacing w:val="0"/>
                <w:kern w:val="2"/>
                <w:sz w:val="21"/>
                <w:szCs w:val="21"/>
                <w:lang w:val="en-US" w:eastAsia="zh-CN" w:bidi="ar-SA"/>
              </w:rPr>
              <w:t>措施，规定了执行部门和实施负责人等要求。</w:t>
            </w:r>
          </w:p>
          <w:p>
            <w:pPr>
              <w:adjustRightInd w:val="0"/>
              <w:snapToGrid w:val="0"/>
              <w:spacing w:line="3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——抽风险1：供应商交付不及时或来料不符合要求；</w:t>
            </w:r>
          </w:p>
          <w:p>
            <w:pPr>
              <w:adjustRightInd w:val="0"/>
              <w:snapToGrid w:val="0"/>
              <w:spacing w:line="3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控制措施：1.采购员随时对订单进行跟踪，必须时到供应商现场确认；2.增加合格供应商，同样产品必须有两家以上的合格供应商。严重程度：严重；实施负责人：王鹏；措施有效性验证：措施有效；</w:t>
            </w:r>
          </w:p>
          <w:p>
            <w:pPr>
              <w:adjustRightInd w:val="0"/>
              <w:snapToGrid w:val="0"/>
              <w:spacing w:line="300" w:lineRule="exact"/>
              <w:jc w:val="left"/>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——抽风险2：环保、安全资金不到位；管理措施：根据公司环保、安全投入需要，制定资金使用计划;严重程度：严重；措施负责人：卢书杰；措施有效性验证：措施有效；</w:t>
            </w:r>
          </w:p>
          <w:p>
            <w:pPr>
              <w:adjustRightInd w:val="0"/>
              <w:snapToGrid w:val="0"/>
              <w:spacing w:line="3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——抽风险3：生产现场和仓库出现明火，企业受到损失；措施：严格执行相关消防制度，加强培训教育加强监督；措施实施负责人：周双；措施有效性验证：措施有效；</w:t>
            </w:r>
          </w:p>
          <w:p>
            <w:pPr>
              <w:adjustRightInd w:val="0"/>
              <w:snapToGrid w:val="0"/>
              <w:spacing w:line="3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另查其他风险如：设备出现故障,影响交工期、本公司生产过程出现事故、防护制品生产方面的鼓励政策等，均制定了管理措施，落实了责任人，查对风险控制措施有效性进行了评价。均有效。</w:t>
            </w:r>
          </w:p>
          <w:p>
            <w:pPr>
              <w:adjustRightInd w:val="0"/>
              <w:snapToGrid w:val="0"/>
              <w:spacing w:line="300" w:lineRule="exact"/>
              <w:jc w:val="left"/>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评审人：王鹏、卢书杰、周双、高春明     评审日期：2022.1.5。</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相关措施由责任部门负责人进行跟踪实施和验证，查验均按要求执行。</w:t>
            </w:r>
          </w:p>
          <w:p>
            <w:pPr>
              <w:adjustRightInd w:val="0"/>
              <w:snapToGrid w:val="0"/>
              <w:spacing w:line="3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通过沟通，王总介绍了公司的发展机遇，该企业主要为整车厂配货，近些年，新能源汽车发展迅速，国家政策扶持，都给企业发展带来了机遇。同时，企业信誉良好，新厂区设备齐全，自动化程度较高，经验丰富，都为企业发展带来了良好机遇。王总介绍，计划加大安全环保力度，进一步扩大市场。</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风险和机遇控制</w:t>
            </w:r>
            <w:r>
              <w:rPr>
                <w:rFonts w:hint="eastAsia" w:ascii="宋体" w:hAnsi="宋体" w:eastAsia="宋体" w:cs="宋体"/>
                <w:sz w:val="21"/>
                <w:szCs w:val="21"/>
                <w:lang w:val="en-US" w:eastAsia="zh-CN"/>
              </w:rPr>
              <w:t>基本符合要求。风险和机遇已提交至管理评审。</w:t>
            </w:r>
          </w:p>
        </w:tc>
        <w:tc>
          <w:tcPr>
            <w:tcW w:w="1068" w:type="dxa"/>
          </w:tcPr>
          <w:p>
            <w:pPr>
              <w:adjustRightInd w:val="0"/>
              <w:snapToGrid w:val="0"/>
              <w:spacing w:line="300" w:lineRule="exact"/>
              <w:rPr>
                <w:rFonts w:hint="eastAsia" w:ascii="宋体" w:hAnsi="宋体" w:eastAsia="宋体" w:cs="宋体"/>
                <w:sz w:val="21"/>
                <w:szCs w:val="21"/>
                <w:lang w:val="en-US" w:eastAsia="zh-CN"/>
              </w:rPr>
            </w:pPr>
            <w:r>
              <w:rPr>
                <w:rFonts w:hint="eastAsia"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5" w:type="dxa"/>
            <w:vAlign w:val="center"/>
          </w:tcPr>
          <w:p>
            <w:pPr>
              <w:bidi w:val="0"/>
              <w:rPr>
                <w:rFonts w:hint="eastAsia" w:ascii="Times New Roman" w:hAnsi="Times New Roman" w:eastAsia="宋体" w:cs="Times New Roman"/>
                <w:kern w:val="2"/>
                <w:sz w:val="21"/>
                <w:szCs w:val="21"/>
                <w:lang w:val="en-US" w:eastAsia="zh-CN" w:bidi="ar-SA"/>
              </w:rPr>
            </w:pPr>
            <w:r>
              <w:rPr>
                <w:rFonts w:hint="eastAsia"/>
                <w:sz w:val="21"/>
                <w:szCs w:val="21"/>
              </w:rPr>
              <w:t>环境因素、危险源</w:t>
            </w:r>
          </w:p>
        </w:tc>
        <w:tc>
          <w:tcPr>
            <w:tcW w:w="1039" w:type="dxa"/>
            <w:vAlign w:val="center"/>
          </w:tcPr>
          <w:p>
            <w:pPr>
              <w:bidi w:val="0"/>
              <w:jc w:val="left"/>
              <w:rPr>
                <w:rFonts w:hint="eastAsia"/>
                <w:sz w:val="21"/>
                <w:szCs w:val="21"/>
                <w:lang w:eastAsia="zh-CN"/>
              </w:rPr>
            </w:pPr>
            <w:r>
              <w:rPr>
                <w:rFonts w:hint="eastAsia"/>
                <w:sz w:val="21"/>
                <w:szCs w:val="21"/>
                <w:lang w:eastAsia="zh-CN"/>
              </w:rPr>
              <w:t>E</w:t>
            </w:r>
          </w:p>
          <w:p>
            <w:pPr>
              <w:bidi w:val="0"/>
              <w:jc w:val="left"/>
              <w:rPr>
                <w:rFonts w:hint="eastAsia"/>
                <w:sz w:val="21"/>
                <w:szCs w:val="21"/>
                <w:lang w:val="en-US" w:eastAsia="zh-CN"/>
              </w:rPr>
            </w:pPr>
            <w:r>
              <w:rPr>
                <w:rFonts w:hint="eastAsia"/>
                <w:sz w:val="21"/>
                <w:szCs w:val="21"/>
              </w:rPr>
              <w:t>6.1.2</w:t>
            </w:r>
          </w:p>
          <w:p>
            <w:pPr>
              <w:bidi w:val="0"/>
              <w:jc w:val="left"/>
              <w:rPr>
                <w:rFonts w:hint="eastAsia" w:ascii="Times New Roman" w:hAnsi="Times New Roman" w:eastAsia="宋体" w:cs="Times New Roman"/>
                <w:kern w:val="2"/>
                <w:sz w:val="21"/>
                <w:szCs w:val="21"/>
                <w:lang w:val="en-US" w:eastAsia="zh-CN" w:bidi="ar-SA"/>
              </w:rPr>
            </w:pPr>
          </w:p>
        </w:tc>
        <w:tc>
          <w:tcPr>
            <w:tcW w:w="11348" w:type="dxa"/>
            <w:vAlign w:val="center"/>
          </w:tcPr>
          <w:p>
            <w:pPr>
              <w:jc w:val="left"/>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制定并</w:t>
            </w:r>
            <w:r>
              <w:rPr>
                <w:rFonts w:hint="eastAsia" w:ascii="Times New Roman" w:hAnsi="Times New Roman" w:eastAsia="宋体" w:cs="Times New Roman"/>
                <w:b w:val="0"/>
                <w:bCs w:val="0"/>
                <w:kern w:val="2"/>
                <w:sz w:val="21"/>
                <w:szCs w:val="21"/>
                <w:lang w:val="en-US" w:eastAsia="zh-CN" w:bidi="ar-SA"/>
              </w:rPr>
              <w:t>执行《</w:t>
            </w:r>
            <w:r>
              <w:rPr>
                <w:rFonts w:hint="eastAsia" w:ascii="Times New Roman" w:hAnsi="Times New Roman" w:eastAsia="宋体" w:cs="Times New Roman"/>
                <w:b w:val="0"/>
                <w:bCs w:val="0"/>
                <w:kern w:val="2"/>
                <w:sz w:val="21"/>
                <w:szCs w:val="21"/>
                <w:lang w:val="en-US" w:eastAsia="zh-CN" w:bidi="ar-SA"/>
              </w:rPr>
              <w:fldChar w:fldCharType="begin"/>
            </w:r>
            <w:r>
              <w:rPr>
                <w:rFonts w:hint="eastAsia" w:ascii="Times New Roman" w:hAnsi="Times New Roman" w:eastAsia="宋体" w:cs="Times New Roman"/>
                <w:b w:val="0"/>
                <w:bCs w:val="0"/>
                <w:kern w:val="2"/>
                <w:sz w:val="21"/>
                <w:szCs w:val="21"/>
                <w:lang w:val="en-US" w:eastAsia="zh-CN" w:bidi="ar-SA"/>
              </w:rPr>
              <w:instrText xml:space="preserve"> HYPERLINK \l "_Toc152476257" </w:instrText>
            </w:r>
            <w:r>
              <w:rPr>
                <w:rFonts w:hint="eastAsia" w:ascii="Times New Roman" w:hAnsi="Times New Roman" w:eastAsia="宋体" w:cs="Times New Roman"/>
                <w:b w:val="0"/>
                <w:bCs w:val="0"/>
                <w:kern w:val="2"/>
                <w:sz w:val="21"/>
                <w:szCs w:val="21"/>
                <w:lang w:val="en-US" w:eastAsia="zh-CN" w:bidi="ar-SA"/>
              </w:rPr>
              <w:fldChar w:fldCharType="separate"/>
            </w:r>
            <w:r>
              <w:rPr>
                <w:rFonts w:hint="eastAsia" w:ascii="Times New Roman" w:hAnsi="Times New Roman" w:eastAsia="宋体" w:cs="Times New Roman"/>
                <w:b w:val="0"/>
                <w:bCs w:val="0"/>
                <w:kern w:val="2"/>
                <w:sz w:val="21"/>
                <w:szCs w:val="21"/>
                <w:lang w:val="en-US" w:eastAsia="zh-CN" w:bidi="ar-SA"/>
              </w:rPr>
              <w:t>环境因素</w:t>
            </w:r>
            <w:r>
              <w:rPr>
                <w:rFonts w:hint="eastAsia" w:cs="Times New Roman"/>
                <w:b w:val="0"/>
                <w:bCs w:val="0"/>
                <w:kern w:val="2"/>
                <w:sz w:val="21"/>
                <w:szCs w:val="21"/>
                <w:lang w:val="en-US" w:eastAsia="zh-CN" w:bidi="ar-SA"/>
              </w:rPr>
              <w:t>的</w:t>
            </w:r>
            <w:r>
              <w:rPr>
                <w:rFonts w:hint="eastAsia" w:ascii="Times New Roman" w:hAnsi="Times New Roman" w:eastAsia="宋体" w:cs="Times New Roman"/>
                <w:b w:val="0"/>
                <w:bCs w:val="0"/>
                <w:kern w:val="2"/>
                <w:sz w:val="21"/>
                <w:szCs w:val="21"/>
                <w:lang w:val="en-US" w:eastAsia="zh-CN" w:bidi="ar-SA"/>
              </w:rPr>
              <w:t>识别</w:t>
            </w:r>
            <w:r>
              <w:rPr>
                <w:rFonts w:hint="eastAsia" w:cs="Times New Roman"/>
                <w:b w:val="0"/>
                <w:bCs w:val="0"/>
                <w:kern w:val="2"/>
                <w:sz w:val="21"/>
                <w:szCs w:val="21"/>
                <w:lang w:val="en-US" w:eastAsia="zh-CN" w:bidi="ar-SA"/>
              </w:rPr>
              <w:t>和评价管理</w:t>
            </w:r>
            <w:r>
              <w:rPr>
                <w:rFonts w:hint="eastAsia" w:ascii="Times New Roman" w:hAnsi="Times New Roman" w:eastAsia="宋体" w:cs="Times New Roman"/>
                <w:b w:val="0"/>
                <w:bCs w:val="0"/>
                <w:kern w:val="2"/>
                <w:sz w:val="21"/>
                <w:szCs w:val="21"/>
                <w:lang w:val="en-US" w:eastAsia="zh-CN" w:bidi="ar-SA"/>
              </w:rPr>
              <w:t>程序</w:t>
            </w:r>
            <w:r>
              <w:rPr>
                <w:rFonts w:hint="eastAsia" w:ascii="Times New Roman" w:hAnsi="Times New Roman" w:eastAsia="宋体" w:cs="Times New Roman"/>
                <w:b w:val="0"/>
                <w:bCs w:val="0"/>
                <w:kern w:val="2"/>
                <w:sz w:val="21"/>
                <w:szCs w:val="21"/>
                <w:lang w:val="en-US" w:eastAsia="zh-CN" w:bidi="ar-SA"/>
              </w:rPr>
              <w:fldChar w:fldCharType="end"/>
            </w:r>
            <w:r>
              <w:rPr>
                <w:rFonts w:hint="eastAsia" w:ascii="Times New Roman" w:hAnsi="Times New Roman" w:eastAsia="宋体" w:cs="Times New Roman"/>
                <w:b w:val="0"/>
                <w:bCs w:val="0"/>
                <w:kern w:val="2"/>
                <w:sz w:val="21"/>
                <w:szCs w:val="21"/>
                <w:lang w:val="en-US" w:eastAsia="zh-CN" w:bidi="ar-SA"/>
              </w:rPr>
              <w:t>》</w:t>
            </w:r>
            <w:r>
              <w:rPr>
                <w:rFonts w:hint="eastAsia" w:cs="Times New Roman"/>
                <w:b w:val="0"/>
                <w:bCs w:val="0"/>
                <w:kern w:val="2"/>
                <w:sz w:val="21"/>
                <w:szCs w:val="21"/>
                <w:lang w:val="en-US" w:eastAsia="zh-CN" w:bidi="ar-SA"/>
              </w:rPr>
              <w:t>。由各部门进行环境因素的识别，</w:t>
            </w:r>
            <w:r>
              <w:rPr>
                <w:rFonts w:hint="eastAsia" w:ascii="宋体" w:hAnsi="宋体" w:cs="宋体"/>
                <w:sz w:val="21"/>
                <w:szCs w:val="21"/>
                <w:lang w:val="en-US" w:eastAsia="zh-CN"/>
              </w:rPr>
              <w:t>综合部</w:t>
            </w:r>
            <w:r>
              <w:rPr>
                <w:rFonts w:hint="eastAsia" w:ascii="宋体" w:hAnsi="宋体" w:eastAsia="宋体" w:cs="宋体"/>
                <w:sz w:val="21"/>
                <w:szCs w:val="21"/>
                <w:lang w:val="en-US" w:eastAsia="zh-CN"/>
              </w:rPr>
              <w:t>负责各部门环境因素的汇总，</w:t>
            </w:r>
            <w:r>
              <w:rPr>
                <w:rFonts w:hint="eastAsia" w:ascii="宋体" w:hAnsi="宋体" w:cs="宋体"/>
                <w:sz w:val="21"/>
                <w:szCs w:val="21"/>
                <w:lang w:val="en-US" w:eastAsia="zh-CN"/>
              </w:rPr>
              <w:t>评价重要环境因素，并</w:t>
            </w:r>
            <w:r>
              <w:rPr>
                <w:rFonts w:hint="eastAsia" w:ascii="宋体" w:hAnsi="宋体" w:eastAsia="宋体" w:cs="宋体"/>
                <w:sz w:val="21"/>
                <w:szCs w:val="21"/>
                <w:lang w:val="en-US" w:eastAsia="zh-CN"/>
              </w:rPr>
              <w:t>进行综合评价并行成清单。</w:t>
            </w:r>
          </w:p>
          <w:p>
            <w:pPr>
              <w:jc w:val="left"/>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提供了</w:t>
            </w:r>
            <w:r>
              <w:rPr>
                <w:rFonts w:hint="eastAsia" w:ascii="Times New Roman" w:hAnsi="Times New Roman" w:eastAsia="宋体" w:cs="Times New Roman"/>
                <w:b w:val="0"/>
                <w:bCs w:val="0"/>
                <w:kern w:val="2"/>
                <w:sz w:val="21"/>
                <w:szCs w:val="21"/>
                <w:lang w:val="en-US" w:eastAsia="zh-CN" w:bidi="ar-SA"/>
              </w:rPr>
              <w:t>《环境因素</w:t>
            </w:r>
            <w:r>
              <w:rPr>
                <w:rFonts w:hint="eastAsia" w:cs="Times New Roman"/>
                <w:b w:val="0"/>
                <w:bCs w:val="0"/>
                <w:kern w:val="2"/>
                <w:sz w:val="21"/>
                <w:szCs w:val="21"/>
                <w:lang w:val="en-US" w:eastAsia="zh-CN" w:bidi="ar-SA"/>
              </w:rPr>
              <w:t>识别评价表</w:t>
            </w:r>
            <w:r>
              <w:rPr>
                <w:rFonts w:hint="eastAsia" w:ascii="Times New Roman" w:hAnsi="Times New Roman" w:eastAsia="宋体" w:cs="Times New Roman"/>
                <w:b w:val="0"/>
                <w:bCs w:val="0"/>
                <w:kern w:val="2"/>
                <w:sz w:val="21"/>
                <w:szCs w:val="21"/>
                <w:lang w:val="en-US" w:eastAsia="zh-CN" w:bidi="ar-SA"/>
              </w:rPr>
              <w:t>》，分别对办公区和</w:t>
            </w:r>
            <w:r>
              <w:rPr>
                <w:rFonts w:hint="eastAsia" w:cs="Times New Roman"/>
                <w:b w:val="0"/>
                <w:bCs w:val="0"/>
                <w:kern w:val="2"/>
                <w:sz w:val="21"/>
                <w:szCs w:val="21"/>
                <w:lang w:val="en-US" w:eastAsia="zh-CN" w:bidi="ar-SA"/>
              </w:rPr>
              <w:t>生产现场、相关方活动等</w:t>
            </w:r>
            <w:r>
              <w:rPr>
                <w:rFonts w:hint="eastAsia" w:ascii="Times New Roman" w:hAnsi="Times New Roman" w:eastAsia="宋体" w:cs="Times New Roman"/>
                <w:b w:val="0"/>
                <w:bCs w:val="0"/>
                <w:kern w:val="2"/>
                <w:sz w:val="21"/>
                <w:szCs w:val="21"/>
                <w:lang w:val="en-US" w:eastAsia="zh-CN" w:bidi="ar-SA"/>
              </w:rPr>
              <w:t>涉及的环境因素进行了辨识和登记，</w:t>
            </w:r>
            <w:r>
              <w:rPr>
                <w:rFonts w:hint="eastAsia" w:cs="Times New Roman"/>
                <w:b w:val="0"/>
                <w:bCs w:val="0"/>
                <w:kern w:val="2"/>
                <w:sz w:val="21"/>
                <w:szCs w:val="21"/>
                <w:lang w:val="en-US" w:eastAsia="zh-CN" w:bidi="ar-SA"/>
              </w:rPr>
              <w:t>并</w:t>
            </w:r>
            <w:r>
              <w:rPr>
                <w:rFonts w:hint="eastAsia" w:ascii="Times New Roman" w:hAnsi="Times New Roman" w:eastAsia="宋体" w:cs="Times New Roman"/>
                <w:b w:val="0"/>
                <w:bCs w:val="0"/>
                <w:kern w:val="2"/>
                <w:sz w:val="21"/>
                <w:szCs w:val="21"/>
                <w:lang w:val="en-US" w:eastAsia="zh-CN" w:bidi="ar-SA"/>
              </w:rPr>
              <w:t>编制了《重要环境因素清单》，评价出的重要环境因素为</w:t>
            </w:r>
            <w:r>
              <w:rPr>
                <w:rFonts w:hint="default" w:ascii="Times New Roman" w:hAnsi="Times New Roman" w:eastAsia="宋体" w:cs="Times New Roman"/>
                <w:b w:val="0"/>
                <w:bCs w:val="0"/>
                <w:kern w:val="2"/>
                <w:sz w:val="21"/>
                <w:szCs w:val="21"/>
                <w:lang w:val="en-US" w:eastAsia="zh-CN" w:bidi="ar-SA"/>
              </w:rPr>
              <w:t>潜在火灾</w:t>
            </w:r>
            <w:r>
              <w:rPr>
                <w:rFonts w:hint="eastAsia" w:cs="Times New Roman"/>
                <w:b w:val="0"/>
                <w:bCs w:val="0"/>
                <w:kern w:val="2"/>
                <w:sz w:val="21"/>
                <w:szCs w:val="21"/>
                <w:lang w:val="en-US" w:eastAsia="zh-CN" w:bidi="ar-SA"/>
              </w:rPr>
              <w:t>、</w:t>
            </w:r>
            <w:r>
              <w:rPr>
                <w:rFonts w:hint="default" w:ascii="Times New Roman" w:hAnsi="Times New Roman" w:eastAsia="宋体" w:cs="Times New Roman"/>
                <w:b w:val="0"/>
                <w:bCs w:val="0"/>
                <w:kern w:val="2"/>
                <w:sz w:val="21"/>
                <w:szCs w:val="21"/>
                <w:lang w:val="en-US" w:eastAsia="zh-CN" w:bidi="ar-SA"/>
              </w:rPr>
              <w:t>废气的排放</w:t>
            </w:r>
            <w:r>
              <w:rPr>
                <w:rFonts w:hint="eastAsia" w:cs="Times New Roman"/>
                <w:b w:val="0"/>
                <w:bCs w:val="0"/>
                <w:kern w:val="2"/>
                <w:sz w:val="21"/>
                <w:szCs w:val="21"/>
                <w:lang w:val="en-US" w:eastAsia="zh-CN" w:bidi="ar-SA"/>
              </w:rPr>
              <w:t>、</w:t>
            </w:r>
            <w:r>
              <w:rPr>
                <w:rFonts w:hint="default" w:ascii="Times New Roman" w:hAnsi="Times New Roman" w:eastAsia="宋体" w:cs="Times New Roman"/>
                <w:b w:val="0"/>
                <w:bCs w:val="0"/>
                <w:kern w:val="2"/>
                <w:sz w:val="21"/>
                <w:szCs w:val="21"/>
                <w:lang w:val="en-US" w:eastAsia="zh-CN" w:bidi="ar-SA"/>
              </w:rPr>
              <w:t>噪声排放</w:t>
            </w:r>
            <w:r>
              <w:rPr>
                <w:rFonts w:hint="eastAsia" w:cs="Times New Roman"/>
                <w:b w:val="0"/>
                <w:bCs w:val="0"/>
                <w:kern w:val="2"/>
                <w:sz w:val="21"/>
                <w:szCs w:val="21"/>
                <w:lang w:val="en-US" w:eastAsia="zh-CN" w:bidi="ar-SA"/>
              </w:rPr>
              <w:t>、</w:t>
            </w:r>
            <w:r>
              <w:rPr>
                <w:rFonts w:hint="default" w:ascii="Times New Roman" w:hAnsi="Times New Roman" w:eastAsia="宋体" w:cs="Times New Roman"/>
                <w:b w:val="0"/>
                <w:bCs w:val="0"/>
                <w:kern w:val="2"/>
                <w:sz w:val="21"/>
                <w:szCs w:val="21"/>
                <w:lang w:val="en-US" w:eastAsia="zh-CN" w:bidi="ar-SA"/>
              </w:rPr>
              <w:t>固体废物排放</w:t>
            </w:r>
            <w:r>
              <w:rPr>
                <w:rFonts w:hint="eastAsia" w:cs="Times New Roman"/>
                <w:b w:val="0"/>
                <w:bCs w:val="0"/>
                <w:kern w:val="2"/>
                <w:sz w:val="21"/>
                <w:szCs w:val="21"/>
                <w:lang w:val="en-US" w:eastAsia="zh-CN" w:bidi="ar-SA"/>
              </w:rPr>
              <w:t>、</w:t>
            </w:r>
            <w:r>
              <w:rPr>
                <w:rFonts w:hint="default" w:ascii="Times New Roman" w:hAnsi="Times New Roman" w:eastAsia="宋体" w:cs="Times New Roman"/>
                <w:b w:val="0"/>
                <w:bCs w:val="0"/>
                <w:kern w:val="2"/>
                <w:sz w:val="21"/>
                <w:szCs w:val="21"/>
                <w:lang w:val="en-US" w:eastAsia="zh-CN" w:bidi="ar-SA"/>
              </w:rPr>
              <w:t>能源消耗</w:t>
            </w:r>
            <w:r>
              <w:rPr>
                <w:rFonts w:hint="eastAsia" w:ascii="Times New Roman" w:hAnsi="Times New Roman" w:eastAsia="宋体" w:cs="Times New Roman"/>
                <w:b w:val="0"/>
                <w:bCs w:val="0"/>
                <w:kern w:val="2"/>
                <w:sz w:val="21"/>
                <w:szCs w:val="21"/>
                <w:lang w:val="en-US" w:eastAsia="zh-CN" w:bidi="ar-SA"/>
              </w:rPr>
              <w:t>。</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评价基本准确，详见各部门相关条款审核记录。</w:t>
            </w:r>
          </w:p>
        </w:tc>
        <w:tc>
          <w:tcPr>
            <w:tcW w:w="1068" w:type="dxa"/>
          </w:tcPr>
          <w:p>
            <w:pPr>
              <w:adjustRightInd w:val="0"/>
              <w:snapToGrid w:val="0"/>
              <w:spacing w:line="300" w:lineRule="exact"/>
              <w:rPr>
                <w:rFonts w:hint="eastAsia" w:ascii="宋体" w:hAnsi="宋体" w:eastAsia="宋体" w:cs="宋体"/>
                <w:sz w:val="21"/>
                <w:szCs w:val="21"/>
                <w:lang w:val="en-US" w:eastAsia="zh-CN"/>
              </w:rPr>
            </w:pPr>
            <w:r>
              <w:rPr>
                <w:rFonts w:hint="eastAsia"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5" w:type="dxa"/>
            <w:vAlign w:val="center"/>
          </w:tcPr>
          <w:p>
            <w:pPr>
              <w:bidi w:val="0"/>
              <w:rPr>
                <w:rFonts w:hint="eastAsia" w:ascii="Times New Roman" w:hAnsi="Times New Roman" w:eastAsia="宋体" w:cs="Times New Roman"/>
                <w:kern w:val="2"/>
                <w:sz w:val="21"/>
                <w:szCs w:val="21"/>
                <w:lang w:val="en-US" w:eastAsia="zh-CN" w:bidi="ar-SA"/>
              </w:rPr>
            </w:pPr>
            <w:r>
              <w:rPr>
                <w:rFonts w:hint="eastAsia"/>
                <w:sz w:val="21"/>
                <w:szCs w:val="21"/>
              </w:rPr>
              <w:t>合规性义务、法律法规要求</w:t>
            </w:r>
          </w:p>
        </w:tc>
        <w:tc>
          <w:tcPr>
            <w:tcW w:w="1039" w:type="dxa"/>
            <w:vAlign w:val="center"/>
          </w:tcPr>
          <w:p>
            <w:pPr>
              <w:bidi w:val="0"/>
              <w:jc w:val="left"/>
              <w:rPr>
                <w:rFonts w:hint="eastAsia" w:ascii="Times New Roman" w:hAnsi="Times New Roman" w:eastAsia="宋体" w:cs="Times New Roman"/>
                <w:kern w:val="2"/>
                <w:sz w:val="21"/>
                <w:szCs w:val="21"/>
                <w:lang w:val="en-US" w:eastAsia="zh-CN" w:bidi="ar-SA"/>
              </w:rPr>
            </w:pPr>
            <w:r>
              <w:rPr>
                <w:rFonts w:hint="eastAsia"/>
                <w:sz w:val="21"/>
                <w:szCs w:val="21"/>
                <w:lang w:eastAsia="zh-CN"/>
              </w:rPr>
              <w:t>E</w:t>
            </w:r>
            <w:r>
              <w:rPr>
                <w:rFonts w:hint="eastAsia"/>
                <w:sz w:val="21"/>
                <w:szCs w:val="21"/>
              </w:rPr>
              <w:t>6.1.3</w:t>
            </w:r>
          </w:p>
        </w:tc>
        <w:tc>
          <w:tcPr>
            <w:tcW w:w="11348" w:type="dxa"/>
            <w:vAlign w:val="center"/>
          </w:tcPr>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为使公司管理体系运行合法有效、符合法律规定及相关方要求，</w:t>
            </w:r>
            <w:r>
              <w:rPr>
                <w:rFonts w:hint="eastAsia" w:cs="Times New Roman"/>
                <w:b w:val="0"/>
                <w:bCs w:val="0"/>
                <w:kern w:val="2"/>
                <w:sz w:val="21"/>
                <w:szCs w:val="21"/>
                <w:lang w:val="en-US" w:eastAsia="zh-CN" w:bidi="ar-SA"/>
              </w:rPr>
              <w:t>企业</w:t>
            </w:r>
            <w:r>
              <w:rPr>
                <w:rFonts w:hint="eastAsia" w:ascii="Times New Roman" w:hAnsi="Times New Roman" w:eastAsia="宋体" w:cs="Times New Roman"/>
                <w:b w:val="0"/>
                <w:bCs w:val="0"/>
                <w:kern w:val="2"/>
                <w:sz w:val="21"/>
                <w:szCs w:val="21"/>
                <w:lang w:val="en-US" w:eastAsia="zh-CN" w:bidi="ar-SA"/>
              </w:rPr>
              <w:t>编制了《法律法规</w:t>
            </w:r>
            <w:r>
              <w:rPr>
                <w:rFonts w:hint="eastAsia" w:cs="Times New Roman"/>
                <w:b w:val="0"/>
                <w:bCs w:val="0"/>
                <w:kern w:val="2"/>
                <w:sz w:val="21"/>
                <w:szCs w:val="21"/>
                <w:lang w:val="en-US" w:eastAsia="zh-CN" w:bidi="ar-SA"/>
              </w:rPr>
              <w:t>及</w:t>
            </w:r>
            <w:r>
              <w:rPr>
                <w:rFonts w:hint="eastAsia" w:ascii="Times New Roman" w:hAnsi="Times New Roman" w:eastAsia="宋体" w:cs="Times New Roman"/>
                <w:b w:val="0"/>
                <w:bCs w:val="0"/>
                <w:kern w:val="2"/>
                <w:sz w:val="21"/>
                <w:szCs w:val="21"/>
                <w:lang w:val="en-US" w:eastAsia="zh-CN" w:bidi="ar-SA"/>
              </w:rPr>
              <w:t>其他要求</w:t>
            </w:r>
            <w:r>
              <w:rPr>
                <w:rFonts w:hint="eastAsia" w:cs="Times New Roman"/>
                <w:b w:val="0"/>
                <w:bCs w:val="0"/>
                <w:kern w:val="2"/>
                <w:sz w:val="21"/>
                <w:szCs w:val="21"/>
                <w:lang w:val="en-US" w:eastAsia="zh-CN" w:bidi="ar-SA"/>
              </w:rPr>
              <w:t>管理</w:t>
            </w:r>
            <w:r>
              <w:rPr>
                <w:rFonts w:hint="eastAsia" w:ascii="Times New Roman" w:hAnsi="Times New Roman" w:eastAsia="宋体" w:cs="Times New Roman"/>
                <w:b w:val="0"/>
                <w:bCs w:val="0"/>
                <w:kern w:val="2"/>
                <w:sz w:val="21"/>
                <w:szCs w:val="21"/>
                <w:lang w:val="en-US" w:eastAsia="zh-CN" w:bidi="ar-SA"/>
              </w:rPr>
              <w:t>程序》，规定法律、法规及其他要求的范围、获取方法、确认及分发。</w:t>
            </w:r>
          </w:p>
          <w:p>
            <w:pPr>
              <w:jc w:val="left"/>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综合部</w:t>
            </w:r>
            <w:r>
              <w:rPr>
                <w:rFonts w:hint="eastAsia" w:ascii="Times New Roman" w:hAnsi="Times New Roman" w:eastAsia="宋体" w:cs="Times New Roman"/>
                <w:b w:val="0"/>
                <w:bCs w:val="0"/>
                <w:kern w:val="2"/>
                <w:sz w:val="21"/>
                <w:szCs w:val="21"/>
                <w:lang w:val="en-US" w:eastAsia="zh-CN" w:bidi="ar-SA"/>
              </w:rPr>
              <w:t>负责适用的产品和质量/环境/安全方面的法律法规的</w:t>
            </w:r>
            <w:r>
              <w:rPr>
                <w:rFonts w:hint="eastAsia" w:cs="Times New Roman"/>
                <w:b w:val="0"/>
                <w:bCs w:val="0"/>
                <w:kern w:val="2"/>
                <w:sz w:val="21"/>
                <w:szCs w:val="21"/>
                <w:lang w:val="en-US" w:eastAsia="zh-CN" w:bidi="ar-SA"/>
              </w:rPr>
              <w:t>汇总</w:t>
            </w:r>
            <w:r>
              <w:rPr>
                <w:rFonts w:hint="eastAsia" w:ascii="Times New Roman" w:hAnsi="Times New Roman" w:eastAsia="宋体" w:cs="Times New Roman"/>
                <w:b w:val="0"/>
                <w:bCs w:val="0"/>
                <w:kern w:val="2"/>
                <w:sz w:val="21"/>
                <w:szCs w:val="21"/>
                <w:lang w:val="en-US" w:eastAsia="zh-CN" w:bidi="ar-SA"/>
              </w:rPr>
              <w:t>和更新，并评价其适用性；</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提供</w:t>
            </w:r>
            <w:r>
              <w:rPr>
                <w:rFonts w:hint="eastAsia" w:cs="Times New Roman"/>
                <w:b w:val="0"/>
                <w:bCs w:val="0"/>
                <w:kern w:val="2"/>
                <w:sz w:val="21"/>
                <w:szCs w:val="21"/>
                <w:lang w:val="en-US" w:eastAsia="zh-CN" w:bidi="ar-SA"/>
              </w:rPr>
              <w:t>了《法律法规文件清单》，识别并登记的适用的法律法规有：</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中华人民共和国环境保护法</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中华人民共和国环境保护税法</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中华人民共和国环境影响评价法</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中华人民共和国噪声污染防治法</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中华人民共和国固体废物污染环境防治法</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中华人民共和国大气污染防治法</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法律法规及其他要求在</w:t>
            </w:r>
            <w:r>
              <w:rPr>
                <w:rFonts w:hint="eastAsia" w:cs="Times New Roman"/>
                <w:b w:val="0"/>
                <w:bCs w:val="0"/>
                <w:kern w:val="2"/>
                <w:sz w:val="21"/>
                <w:szCs w:val="21"/>
                <w:lang w:val="en-US" w:eastAsia="zh-CN" w:bidi="ar-SA"/>
              </w:rPr>
              <w:t>综合部</w:t>
            </w:r>
            <w:r>
              <w:rPr>
                <w:rFonts w:hint="eastAsia" w:ascii="Times New Roman" w:hAnsi="Times New Roman" w:eastAsia="宋体" w:cs="Times New Roman"/>
                <w:b w:val="0"/>
                <w:bCs w:val="0"/>
                <w:kern w:val="2"/>
                <w:sz w:val="21"/>
                <w:szCs w:val="21"/>
                <w:lang w:val="en-US" w:eastAsia="zh-CN" w:bidi="ar-SA"/>
              </w:rPr>
              <w:t>存档一份，并已电子版的形式发到各部门电脑上。</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定期在网上查看法规的更新情况，目前均为最新版本。</w:t>
            </w:r>
          </w:p>
        </w:tc>
        <w:tc>
          <w:tcPr>
            <w:tcW w:w="1068" w:type="dxa"/>
          </w:tcPr>
          <w:p>
            <w:pPr>
              <w:adjustRightInd w:val="0"/>
              <w:snapToGrid w:val="0"/>
              <w:spacing w:line="300" w:lineRule="exact"/>
              <w:rPr>
                <w:rFonts w:hint="eastAsia" w:ascii="宋体" w:hAnsi="宋体" w:eastAsia="宋体" w:cs="宋体"/>
                <w:sz w:val="21"/>
                <w:szCs w:val="21"/>
                <w:lang w:val="en-US" w:eastAsia="zh-CN"/>
              </w:rPr>
            </w:pPr>
            <w:r>
              <w:rPr>
                <w:rFonts w:hint="eastAsia"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5" w:type="dxa"/>
            <w:vAlign w:val="center"/>
          </w:tcPr>
          <w:p>
            <w:pPr>
              <w:bidi w:val="0"/>
              <w:rPr>
                <w:rFonts w:hint="eastAsia" w:ascii="Times New Roman" w:hAnsi="Times New Roman" w:eastAsia="宋体" w:cs="Times New Roman"/>
                <w:kern w:val="2"/>
                <w:sz w:val="21"/>
                <w:szCs w:val="21"/>
                <w:lang w:val="en-US" w:eastAsia="zh-CN" w:bidi="ar-SA"/>
              </w:rPr>
            </w:pPr>
            <w:r>
              <w:rPr>
                <w:rFonts w:hint="eastAsia"/>
                <w:sz w:val="21"/>
                <w:szCs w:val="21"/>
              </w:rPr>
              <w:t>策划措施</w:t>
            </w:r>
          </w:p>
        </w:tc>
        <w:tc>
          <w:tcPr>
            <w:tcW w:w="1039" w:type="dxa"/>
            <w:vAlign w:val="center"/>
          </w:tcPr>
          <w:p>
            <w:pPr>
              <w:bidi w:val="0"/>
              <w:jc w:val="left"/>
              <w:rPr>
                <w:rFonts w:hint="eastAsia"/>
                <w:sz w:val="21"/>
                <w:szCs w:val="21"/>
                <w:lang w:eastAsia="zh-CN"/>
              </w:rPr>
            </w:pPr>
            <w:r>
              <w:rPr>
                <w:rFonts w:hint="eastAsia"/>
                <w:sz w:val="21"/>
                <w:szCs w:val="21"/>
                <w:lang w:eastAsia="zh-CN"/>
              </w:rPr>
              <w:t>E</w:t>
            </w:r>
          </w:p>
          <w:p>
            <w:pPr>
              <w:bidi w:val="0"/>
              <w:jc w:val="left"/>
              <w:rPr>
                <w:rFonts w:hint="eastAsia" w:ascii="Times New Roman" w:hAnsi="Times New Roman" w:eastAsia="宋体" w:cs="Times New Roman"/>
                <w:kern w:val="2"/>
                <w:sz w:val="21"/>
                <w:szCs w:val="21"/>
                <w:lang w:val="en-US" w:eastAsia="zh-CN" w:bidi="ar-SA"/>
              </w:rPr>
            </w:pPr>
            <w:r>
              <w:rPr>
                <w:rFonts w:hint="eastAsia"/>
                <w:sz w:val="21"/>
                <w:szCs w:val="21"/>
              </w:rPr>
              <w:t>6.1.4</w:t>
            </w:r>
          </w:p>
        </w:tc>
        <w:tc>
          <w:tcPr>
            <w:tcW w:w="11348" w:type="dxa"/>
            <w:vAlign w:val="center"/>
          </w:tcPr>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组织管理层策划关于开展管理体系中所采取措施，以便管理环境/安全目标、环境因素、危险源、合规性义务、法律法规组织识别的风险等等。通过合规性评价、目标考核、运行方案、管理评审、内外部沟通等方式以保证管理体系达到预期结果。具体见各部门审核记录。</w:t>
            </w:r>
          </w:p>
        </w:tc>
        <w:tc>
          <w:tcPr>
            <w:tcW w:w="1068" w:type="dxa"/>
          </w:tcPr>
          <w:p>
            <w:pPr>
              <w:adjustRightInd w:val="0"/>
              <w:snapToGrid w:val="0"/>
              <w:spacing w:line="300" w:lineRule="exact"/>
              <w:rPr>
                <w:rFonts w:hint="eastAsia" w:ascii="宋体" w:hAnsi="宋体" w:eastAsia="宋体" w:cs="宋体"/>
                <w:sz w:val="21"/>
                <w:szCs w:val="21"/>
                <w:lang w:val="en-US" w:eastAsia="zh-CN"/>
              </w:rPr>
            </w:pPr>
            <w:r>
              <w:rPr>
                <w:rFonts w:hint="eastAsia"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545" w:type="dxa"/>
            <w:vAlign w:val="center"/>
          </w:tcPr>
          <w:p>
            <w:pPr>
              <w:bidi w:val="0"/>
              <w:rPr>
                <w:rFonts w:hint="eastAsia" w:ascii="宋体" w:hAnsi="宋体" w:eastAsia="宋体" w:cs="宋体"/>
                <w:sz w:val="21"/>
                <w:szCs w:val="21"/>
                <w:lang w:eastAsia="zh-CN"/>
              </w:rPr>
            </w:pPr>
            <w:r>
              <w:rPr>
                <w:rFonts w:hint="eastAsia"/>
                <w:sz w:val="21"/>
                <w:szCs w:val="21"/>
              </w:rPr>
              <w:t>目标</w:t>
            </w:r>
          </w:p>
        </w:tc>
        <w:tc>
          <w:tcPr>
            <w:tcW w:w="1039" w:type="dxa"/>
            <w:vAlign w:val="center"/>
          </w:tcPr>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QE</w:t>
            </w:r>
          </w:p>
          <w:p>
            <w:pPr>
              <w:jc w:val="left"/>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6.2</w:t>
            </w:r>
          </w:p>
        </w:tc>
        <w:tc>
          <w:tcPr>
            <w:tcW w:w="11348" w:type="dxa"/>
            <w:vAlign w:val="center"/>
          </w:tcPr>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●查《管理手册》明确了公司的管理目标：</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质量目标：  产品加工合格率≥98％；</w:t>
            </w:r>
          </w:p>
          <w:p>
            <w:pPr>
              <w:ind w:firstLine="1260" w:firstLineChars="600"/>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顾客满意度≥95%。</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环境目标：  不发生火灾事故；</w:t>
            </w:r>
          </w:p>
          <w:p>
            <w:pPr>
              <w:ind w:firstLine="1260" w:firstLineChars="600"/>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固体废物分类、收集；</w:t>
            </w:r>
          </w:p>
          <w:p>
            <w:pPr>
              <w:ind w:firstLine="1260" w:firstLineChars="600"/>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环境排放达到验收标准</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为确保以上目标的实现，制定了《目标指标及管理方案控制程序》，管理目标分解至各部门，制定了考核方法和考核频次。</w:t>
            </w:r>
          </w:p>
          <w:p>
            <w:pPr>
              <w:jc w:val="left"/>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提供目标考核记录，每季度进行一次目标完成情况的考核。从考核记录来看，2022年1-3季度均完成了目标考核。</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针对重要环境因素和不可接受风险，制定了环境/安全目标指标管理方案，有管理措施和资金投入，并定期检查管理方案落实情况，截至审核，各部门均完成了设定的目标。</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详细情况见各部门审核记录。</w:t>
            </w:r>
          </w:p>
        </w:tc>
        <w:tc>
          <w:tcPr>
            <w:tcW w:w="1068" w:type="dxa"/>
          </w:tcPr>
          <w:p>
            <w:pPr>
              <w:adjustRightInd w:val="0"/>
              <w:snapToGrid w:val="0"/>
              <w:spacing w:line="300" w:lineRule="exact"/>
              <w:rPr>
                <w:rFonts w:hint="eastAsia" w:ascii="宋体" w:hAnsi="宋体" w:eastAsia="宋体" w:cs="宋体"/>
                <w:sz w:val="21"/>
                <w:szCs w:val="21"/>
                <w:lang w:val="en-US" w:eastAsia="zh-CN"/>
              </w:rPr>
            </w:pPr>
            <w:r>
              <w:rPr>
                <w:rFonts w:hint="eastAsia"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545" w:type="dxa"/>
            <w:vAlign w:val="top"/>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变更的策划</w:t>
            </w:r>
          </w:p>
        </w:tc>
        <w:tc>
          <w:tcPr>
            <w:tcW w:w="1039" w:type="dxa"/>
            <w:vAlign w:val="top"/>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Q</w:t>
            </w:r>
          </w:p>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6.3</w:t>
            </w:r>
          </w:p>
          <w:p>
            <w:pPr>
              <w:jc w:val="left"/>
              <w:rPr>
                <w:rFonts w:hint="eastAsia" w:ascii="Times New Roman" w:hAnsi="Times New Roman" w:eastAsia="宋体" w:cs="Times New Roman"/>
                <w:kern w:val="2"/>
                <w:sz w:val="21"/>
                <w:szCs w:val="21"/>
                <w:lang w:val="en-US" w:eastAsia="zh-CN" w:bidi="ar-SA"/>
              </w:rPr>
            </w:pPr>
          </w:p>
        </w:tc>
        <w:tc>
          <w:tcPr>
            <w:tcW w:w="11348" w:type="dxa"/>
            <w:vAlign w:val="top"/>
          </w:tcPr>
          <w:p>
            <w:pPr>
              <w:jc w:val="left"/>
              <w:rPr>
                <w:rFonts w:hint="eastAsia" w:ascii="Times New Roman" w:hAnsi="Times New Roman" w:eastAsia="宋体" w:cs="Times New Roman"/>
                <w:kern w:val="2"/>
                <w:sz w:val="21"/>
                <w:szCs w:val="21"/>
                <w:lang w:val="en-US" w:eastAsia="zh-CN" w:bidi="ar-SA"/>
              </w:rPr>
            </w:pPr>
            <w:r>
              <w:rPr>
                <w:rFonts w:hint="eastAsia"/>
                <w:sz w:val="21"/>
                <w:szCs w:val="21"/>
              </w:rPr>
              <w:t>●</w:t>
            </w:r>
            <w:r>
              <w:rPr>
                <w:rFonts w:hint="eastAsia" w:ascii="Times New Roman" w:hAnsi="Times New Roman" w:eastAsia="宋体" w:cs="Times New Roman"/>
                <w:kern w:val="2"/>
                <w:sz w:val="21"/>
                <w:szCs w:val="21"/>
                <w:lang w:val="en-US" w:eastAsia="zh-CN" w:bidi="ar-SA"/>
              </w:rPr>
              <w:t>查看管理手册6.3条款，对于变更的策划进行了规定。企业</w:t>
            </w:r>
            <w:r>
              <w:rPr>
                <w:rFonts w:hint="eastAsia"/>
                <w:sz w:val="21"/>
                <w:szCs w:val="21"/>
                <w:lang w:val="en-US" w:eastAsia="zh-CN"/>
              </w:rPr>
              <w:t>介绍，</w:t>
            </w:r>
            <w:r>
              <w:rPr>
                <w:rFonts w:hint="eastAsia" w:ascii="Times New Roman" w:hAnsi="Times New Roman" w:eastAsia="宋体" w:cs="Times New Roman"/>
                <w:kern w:val="2"/>
                <w:sz w:val="21"/>
                <w:szCs w:val="21"/>
                <w:lang w:val="en-US" w:eastAsia="zh-CN" w:bidi="ar-SA"/>
              </w:rPr>
              <w:t>公司于202</w:t>
            </w:r>
            <w:r>
              <w:rPr>
                <w:rFonts w:hint="eastAsia"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年</w:t>
            </w:r>
            <w:r>
              <w:rPr>
                <w:rFonts w:hint="eastAsia"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月份建立质量管理体系以来，为使公司质量管理体系有效运行，并持续改进，各部门按质量管理体系文件中的规定贯彻实施，文件中的规定与实际运作应保持一致。</w:t>
            </w:r>
          </w:p>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随着质量管理体系的变化，质量方针、目标的变化，定期评审及时修订质量管理体系文件，确保其有效性、充分性和适宜性。质量管理体系建立后，不断完善，持续改进，提高有效性和效率。</w:t>
            </w:r>
          </w:p>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公司自运行以来没有发生变更。</w:t>
            </w:r>
          </w:p>
        </w:tc>
        <w:tc>
          <w:tcPr>
            <w:tcW w:w="1068" w:type="dxa"/>
          </w:tcPr>
          <w:p>
            <w:pPr>
              <w:adjustRightInd w:val="0"/>
              <w:snapToGrid w:val="0"/>
              <w:spacing w:line="300" w:lineRule="exact"/>
              <w:rPr>
                <w:rFonts w:hint="eastAsia" w:ascii="宋体" w:hAnsi="宋体" w:eastAsia="宋体" w:cs="宋体"/>
                <w:sz w:val="21"/>
                <w:szCs w:val="21"/>
                <w:lang w:val="en-US" w:eastAsia="zh-CN"/>
              </w:rPr>
            </w:pPr>
            <w:r>
              <w:rPr>
                <w:rFonts w:hint="eastAsia"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资源</w:t>
            </w:r>
          </w:p>
        </w:tc>
        <w:tc>
          <w:tcPr>
            <w:tcW w:w="1039" w:type="dxa"/>
          </w:tcPr>
          <w:p>
            <w:pPr>
              <w:adjustRightInd w:val="0"/>
              <w:snapToGrid w:val="0"/>
              <w:spacing w:line="30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QE</w:t>
            </w:r>
          </w:p>
          <w:p>
            <w:pPr>
              <w:adjustRightInd w:val="0"/>
              <w:snapToGrid w:val="0"/>
              <w:spacing w:line="300" w:lineRule="exact"/>
              <w:jc w:val="left"/>
              <w:rPr>
                <w:rFonts w:hint="eastAsia" w:ascii="宋体" w:hAnsi="宋体" w:eastAsia="宋体" w:cs="宋体"/>
                <w:sz w:val="21"/>
                <w:szCs w:val="21"/>
              </w:rPr>
            </w:pPr>
            <w:r>
              <w:rPr>
                <w:rFonts w:hint="eastAsia" w:ascii="宋体" w:hAnsi="宋体" w:eastAsia="宋体" w:cs="宋体"/>
                <w:sz w:val="21"/>
                <w:szCs w:val="21"/>
              </w:rPr>
              <w:t>7.1</w:t>
            </w:r>
          </w:p>
        </w:tc>
        <w:tc>
          <w:tcPr>
            <w:tcW w:w="11348" w:type="dxa"/>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公司确定并提供为建立、实施、保持和持续改进职业健康安全管理体系所需的资源。</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人力资源：目前职工人数</w:t>
            </w:r>
            <w:r>
              <w:rPr>
                <w:rFonts w:hint="eastAsia" w:ascii="宋体" w:hAnsi="宋体" w:cs="宋体"/>
                <w:sz w:val="21"/>
                <w:szCs w:val="21"/>
                <w:lang w:val="en-US" w:eastAsia="zh-CN"/>
              </w:rPr>
              <w:t>25</w:t>
            </w:r>
            <w:r>
              <w:rPr>
                <w:rFonts w:hint="eastAsia" w:ascii="宋体" w:hAnsi="宋体" w:eastAsia="宋体" w:cs="宋体"/>
                <w:sz w:val="21"/>
                <w:szCs w:val="21"/>
                <w:lang w:val="en-US" w:eastAsia="zh-CN"/>
              </w:rPr>
              <w:t>人。</w:t>
            </w:r>
            <w:r>
              <w:rPr>
                <w:rFonts w:hint="eastAsia" w:ascii="宋体" w:hAnsi="宋体" w:cs="宋体"/>
                <w:sz w:val="21"/>
                <w:szCs w:val="21"/>
                <w:lang w:val="en-US" w:eastAsia="zh-CN"/>
              </w:rPr>
              <w:t>人员教育水平较高，技术实力扎实</w:t>
            </w:r>
            <w:r>
              <w:rPr>
                <w:rFonts w:hint="eastAsia" w:ascii="宋体" w:hAnsi="宋体" w:eastAsia="宋体" w:cs="宋体"/>
                <w:sz w:val="21"/>
                <w:szCs w:val="21"/>
                <w:lang w:val="en-US" w:eastAsia="zh-CN"/>
              </w:rPr>
              <w:t>。</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基础设施：现场巡视，</w:t>
            </w:r>
            <w:r>
              <w:rPr>
                <w:rFonts w:hint="eastAsia" w:ascii="宋体" w:hAnsi="宋体" w:cs="宋体"/>
                <w:sz w:val="21"/>
                <w:szCs w:val="21"/>
                <w:lang w:val="en-US" w:eastAsia="zh-CN"/>
              </w:rPr>
              <w:t>企业位于河北省沧县兴济镇北桃杏村，总建筑面积约4500平，办公楼一座2层，配有会客室，休息室，办公室，经理室，展厅，</w:t>
            </w:r>
            <w:r>
              <w:rPr>
                <w:rFonts w:hint="eastAsia" w:ascii="宋体" w:hAnsi="宋体" w:eastAsia="宋体" w:cs="宋体"/>
                <w:sz w:val="21"/>
                <w:szCs w:val="21"/>
                <w:lang w:val="en-US" w:eastAsia="zh-CN"/>
              </w:rPr>
              <w:t>整体环境良好，干净整洁。</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现场查看</w:t>
            </w:r>
            <w:r>
              <w:rPr>
                <w:rFonts w:hint="eastAsia" w:ascii="宋体" w:hAnsi="宋体" w:cs="宋体"/>
                <w:sz w:val="21"/>
                <w:szCs w:val="21"/>
                <w:lang w:val="en-US" w:eastAsia="zh-CN"/>
              </w:rPr>
              <w:t>生产设施主要</w:t>
            </w:r>
            <w:r>
              <w:rPr>
                <w:rFonts w:hint="eastAsia" w:ascii="宋体" w:hAnsi="宋体" w:eastAsia="宋体" w:cs="宋体"/>
                <w:sz w:val="21"/>
                <w:szCs w:val="21"/>
                <w:lang w:val="en-US" w:eastAsia="zh-CN"/>
              </w:rPr>
              <w:t>是</w:t>
            </w:r>
            <w:r>
              <w:rPr>
                <w:rFonts w:hint="eastAsia" w:ascii="宋体" w:hAnsi="宋体" w:cs="宋体"/>
                <w:sz w:val="21"/>
                <w:szCs w:val="21"/>
                <w:lang w:val="en-US" w:eastAsia="zh-CN"/>
              </w:rPr>
              <w:t>自动炉灰分离机、自动压铸机、重力浇铸机、电时效炉、锯床、台钻、攻丝机等设备，满足生产需要。</w:t>
            </w:r>
          </w:p>
          <w:p>
            <w:pPr>
              <w:adjustRightInd w:val="0"/>
              <w:snapToGrid w:val="0"/>
              <w:spacing w:line="3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3、环保设施主要有：集气罩、布袋除尘器、活性炭吸附装置、15米排气筒；</w:t>
            </w:r>
          </w:p>
          <w:p>
            <w:pPr>
              <w:adjustRightInd w:val="0"/>
              <w:snapToGrid w:val="0"/>
              <w:spacing w:line="3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4、办公室设施主要是：电脑打印机等；</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办公区楼道内配有灭火器和消防栓，现场查看均在有效期压力范围内。</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定期为员工发放口罩、手套、和</w:t>
            </w:r>
            <w:r>
              <w:rPr>
                <w:rFonts w:hint="eastAsia" w:ascii="宋体" w:hAnsi="宋体" w:cs="宋体"/>
                <w:sz w:val="21"/>
                <w:szCs w:val="21"/>
                <w:lang w:val="en-US" w:eastAsia="zh-CN"/>
              </w:rPr>
              <w:t>医用酒精等劳保</w:t>
            </w:r>
            <w:r>
              <w:rPr>
                <w:rFonts w:hint="eastAsia" w:ascii="宋体" w:hAnsi="宋体" w:eastAsia="宋体" w:cs="宋体"/>
                <w:sz w:val="21"/>
                <w:szCs w:val="21"/>
                <w:lang w:val="en-US" w:eastAsia="zh-CN"/>
              </w:rPr>
              <w:t>用品。</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水电供应由</w:t>
            </w:r>
            <w:r>
              <w:rPr>
                <w:rFonts w:hint="eastAsia" w:ascii="宋体" w:hAnsi="宋体" w:cs="宋体"/>
                <w:sz w:val="21"/>
                <w:szCs w:val="21"/>
                <w:lang w:val="en-US" w:eastAsia="zh-CN"/>
              </w:rPr>
              <w:t>综合部</w:t>
            </w:r>
            <w:r>
              <w:rPr>
                <w:rFonts w:hint="eastAsia" w:ascii="宋体" w:hAnsi="宋体" w:eastAsia="宋体" w:cs="宋体"/>
                <w:sz w:val="21"/>
                <w:szCs w:val="21"/>
                <w:lang w:val="en-US" w:eastAsia="zh-CN"/>
              </w:rPr>
              <w:t>负责</w:t>
            </w:r>
            <w:r>
              <w:rPr>
                <w:rFonts w:hint="eastAsia" w:ascii="宋体" w:hAnsi="宋体" w:cs="宋体"/>
                <w:sz w:val="21"/>
                <w:szCs w:val="21"/>
                <w:lang w:val="en-US" w:eastAsia="zh-CN"/>
              </w:rPr>
              <w:t>。</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各部门负责保持各自部门的环境卫生和安全控制。</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各种废弃物的</w:t>
            </w:r>
            <w:r>
              <w:rPr>
                <w:rFonts w:hint="eastAsia" w:ascii="宋体" w:hAnsi="宋体" w:cs="宋体"/>
                <w:sz w:val="21"/>
                <w:szCs w:val="21"/>
                <w:lang w:val="en-US" w:eastAsia="zh-CN"/>
              </w:rPr>
              <w:t>分类处置</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综合部</w:t>
            </w:r>
            <w:r>
              <w:rPr>
                <w:rFonts w:hint="eastAsia" w:ascii="宋体" w:hAnsi="宋体" w:eastAsia="宋体" w:cs="宋体"/>
                <w:sz w:val="21"/>
                <w:szCs w:val="21"/>
                <w:lang w:val="en-US" w:eastAsia="zh-CN"/>
              </w:rPr>
              <w:t>负责监督检查。</w:t>
            </w:r>
          </w:p>
          <w:p>
            <w:pPr>
              <w:adjustRightInd w:val="0"/>
              <w:snapToGrid w:val="0"/>
              <w:spacing w:line="3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每个员工都有责任创造和谐、舒适的工作环境。</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管理评审</w:t>
            </w:r>
          </w:p>
        </w:tc>
        <w:tc>
          <w:tcPr>
            <w:tcW w:w="1039" w:type="dxa"/>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w:t>
            </w:r>
          </w:p>
          <w:p>
            <w:pPr>
              <w:pStyle w:val="6"/>
              <w:jc w:val="left"/>
              <w:rPr>
                <w:rFonts w:hint="eastAsia" w:ascii="宋体" w:hAnsi="宋体" w:eastAsia="宋体" w:cs="宋体"/>
                <w:sz w:val="21"/>
                <w:szCs w:val="21"/>
                <w:lang w:val="en-US"/>
              </w:rPr>
            </w:pPr>
            <w:r>
              <w:rPr>
                <w:rFonts w:hint="eastAsia" w:ascii="宋体" w:hAnsi="宋体" w:eastAsia="宋体" w:cs="宋体"/>
                <w:sz w:val="21"/>
                <w:szCs w:val="21"/>
                <w:lang w:val="en-US" w:eastAsia="zh-CN"/>
              </w:rPr>
              <w:t>9.3</w:t>
            </w:r>
          </w:p>
        </w:tc>
        <w:tc>
          <w:tcPr>
            <w:tcW w:w="11348" w:type="dxa"/>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●编制并</w:t>
            </w:r>
            <w:r>
              <w:rPr>
                <w:rFonts w:hint="eastAsia" w:ascii="宋体" w:hAnsi="宋体" w:eastAsia="宋体" w:cs="宋体"/>
                <w:sz w:val="21"/>
                <w:szCs w:val="21"/>
                <w:lang w:val="en-US" w:eastAsia="zh-CN"/>
              </w:rPr>
              <w:t>执行</w:t>
            </w:r>
            <w:r>
              <w:rPr>
                <w:rFonts w:hint="eastAsia" w:ascii="宋体" w:hAnsi="宋体" w:cs="宋体"/>
                <w:sz w:val="21"/>
                <w:szCs w:val="21"/>
                <w:lang w:val="en-US" w:eastAsia="zh-CN"/>
              </w:rPr>
              <w:t>公司</w:t>
            </w:r>
            <w:r>
              <w:rPr>
                <w:rFonts w:hint="eastAsia" w:ascii="宋体" w:hAnsi="宋体" w:eastAsia="宋体" w:cs="宋体"/>
                <w:sz w:val="21"/>
                <w:szCs w:val="21"/>
                <w:lang w:val="en-US" w:eastAsia="zh-CN"/>
              </w:rPr>
              <w:t>《管理评审</w:t>
            </w:r>
            <w:r>
              <w:rPr>
                <w:rFonts w:hint="eastAsia" w:ascii="宋体" w:hAnsi="宋体" w:cs="宋体"/>
                <w:sz w:val="21"/>
                <w:szCs w:val="21"/>
                <w:lang w:val="en-US" w:eastAsia="zh-CN"/>
              </w:rPr>
              <w:t>控制</w:t>
            </w:r>
            <w:r>
              <w:rPr>
                <w:rFonts w:hint="eastAsia" w:ascii="宋体" w:hAnsi="宋体" w:eastAsia="宋体" w:cs="宋体"/>
                <w:sz w:val="21"/>
                <w:szCs w:val="21"/>
                <w:lang w:val="en-US" w:eastAsia="zh-CN"/>
              </w:rPr>
              <w:t>程序》，按程序要求进行管理评审，</w:t>
            </w:r>
            <w:r>
              <w:rPr>
                <w:rFonts w:hint="eastAsia" w:ascii="宋体" w:hAnsi="宋体" w:cs="宋体"/>
                <w:sz w:val="21"/>
                <w:szCs w:val="21"/>
                <w:lang w:val="en-US" w:eastAsia="zh-CN"/>
              </w:rPr>
              <w:t>每年至少一次</w:t>
            </w:r>
            <w:r>
              <w:rPr>
                <w:rFonts w:hint="eastAsia" w:ascii="宋体" w:hAnsi="宋体" w:eastAsia="宋体" w:cs="宋体"/>
                <w:sz w:val="21"/>
                <w:szCs w:val="21"/>
                <w:lang w:val="en-US" w:eastAsia="zh-CN"/>
              </w:rPr>
              <w:t>，总经理主持。</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w:t>
            </w:r>
            <w:r>
              <w:rPr>
                <w:rFonts w:hint="eastAsia" w:ascii="宋体" w:hAnsi="宋体" w:cs="宋体"/>
                <w:sz w:val="21"/>
                <w:szCs w:val="21"/>
                <w:lang w:val="en-US" w:eastAsia="zh-CN"/>
              </w:rPr>
              <w:t>企业策划并于2022年7月30日开展了管理管理评审</w:t>
            </w:r>
            <w:r>
              <w:rPr>
                <w:rFonts w:hint="eastAsia" w:ascii="宋体" w:hAnsi="宋体" w:eastAsia="宋体" w:cs="宋体"/>
                <w:sz w:val="21"/>
                <w:szCs w:val="21"/>
                <w:lang w:val="en-US" w:eastAsia="zh-CN"/>
              </w:rPr>
              <w:t>，提供了管理评审的通知</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管理评审计划</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管理评审会议签到表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管理评审会议记录、管理体系运行报告、管理评审报告、管理评审结果跟踪记录。</w:t>
            </w:r>
          </w:p>
          <w:p>
            <w:pPr>
              <w:adjustRightInd w:val="0"/>
              <w:snapToGrid w:val="0"/>
              <w:spacing w:line="30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1.查《管理评审计划》，划明确了管理评审目的、依据、参加评审的人员、评审的内容等。编制：卢书杰  批准：王鹏      2022.7.22</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2.按计划策划的时间，在公司会议室由总经理主持召开主持了管理评审。</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提供了管理评审会议记录，会议记录有各部门签到，提供了管理者代表做的管理体系运行情况报告及各部门领导所做的本部门体系运行工作汇报。</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管理评审内容包括：公司目标的适宜性，公司资源配置是否得当，是否能够满足的目标和要求。危险源辨识、评价、控制和环境因素识别、评价、控制是否适宜，现行的控制措施是否有效，相关方的投诉以及顾客投诉建议以及其他要求，法律法规以及其他要求的符合性状况等方面，管理评审输入较全面。</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查看各部门体系运行报告，包括本部门工作情况，目标指标完成情况，内审情况等方面。</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3、查《管理评审报告》，评审结论：通过管理评审说明我公司的质量、环境、职业健康安全管理体系的运行是适宜的、充分的和有效的。</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4.管理评审提出改进决议：由综合部组织施对全体员工法律法规的教育</w:t>
            </w:r>
          </w:p>
          <w:p>
            <w:pPr>
              <w:adjustRightInd w:val="0"/>
              <w:snapToGrid w:val="0"/>
              <w:spacing w:line="3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编制了《改进计划》，制定了改进措施，针对管理评审提出的改进意见，组织了培训，</w:t>
            </w:r>
            <w:r>
              <w:rPr>
                <w:rFonts w:hint="eastAsia" w:ascii="宋体" w:hAnsi="宋体" w:cs="宋体"/>
                <w:sz w:val="21"/>
                <w:szCs w:val="21"/>
                <w:lang w:val="en-US" w:eastAsia="zh-CN"/>
              </w:rPr>
              <w:t>提供了培训记录，</w:t>
            </w:r>
            <w:r>
              <w:rPr>
                <w:rFonts w:hint="eastAsia" w:ascii="宋体" w:hAnsi="宋体" w:eastAsia="宋体" w:cs="宋体"/>
                <w:sz w:val="21"/>
                <w:szCs w:val="21"/>
                <w:lang w:val="en-US" w:eastAsia="zh-CN"/>
              </w:rPr>
              <w:t>管理评审提出的改进措施已培训完成</w:t>
            </w:r>
            <w:r>
              <w:rPr>
                <w:rFonts w:hint="eastAsia" w:ascii="宋体" w:hAnsi="宋体" w:cs="宋体"/>
                <w:sz w:val="21"/>
                <w:szCs w:val="21"/>
                <w:lang w:val="en-US" w:eastAsia="zh-CN"/>
              </w:rPr>
              <w:t>。</w:t>
            </w:r>
          </w:p>
        </w:tc>
        <w:tc>
          <w:tcPr>
            <w:tcW w:w="1068" w:type="dxa"/>
          </w:tcPr>
          <w:p>
            <w:pPr>
              <w:adjustRightInd w:val="0"/>
              <w:snapToGrid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持续改进</w:t>
            </w:r>
          </w:p>
        </w:tc>
        <w:tc>
          <w:tcPr>
            <w:tcW w:w="1039" w:type="dxa"/>
          </w:tcPr>
          <w:p>
            <w:pPr>
              <w:adjustRightInd w:val="0"/>
              <w:snapToGrid w:val="0"/>
              <w:spacing w:line="30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QE</w:t>
            </w:r>
          </w:p>
          <w:p>
            <w:pPr>
              <w:adjustRightInd w:val="0"/>
              <w:snapToGrid w:val="0"/>
              <w:spacing w:line="300" w:lineRule="exact"/>
              <w:jc w:val="left"/>
              <w:rPr>
                <w:rFonts w:hint="eastAsia" w:ascii="宋体" w:hAnsi="宋体" w:eastAsia="宋体" w:cs="宋体"/>
                <w:sz w:val="21"/>
                <w:szCs w:val="21"/>
              </w:rPr>
            </w:pPr>
            <w:r>
              <w:rPr>
                <w:rFonts w:hint="eastAsia" w:ascii="宋体" w:hAnsi="宋体" w:eastAsia="宋体" w:cs="宋体"/>
                <w:sz w:val="21"/>
                <w:szCs w:val="21"/>
              </w:rPr>
              <w:t>10.1</w:t>
            </w:r>
          </w:p>
          <w:p>
            <w:pPr>
              <w:adjustRightInd w:val="0"/>
              <w:snapToGrid w:val="0"/>
              <w:spacing w:line="300" w:lineRule="exact"/>
              <w:jc w:val="left"/>
              <w:rPr>
                <w:rFonts w:hint="eastAsia" w:ascii="宋体" w:hAnsi="宋体" w:eastAsia="宋体" w:cs="宋体"/>
                <w:sz w:val="21"/>
                <w:szCs w:val="21"/>
              </w:rPr>
            </w:pPr>
          </w:p>
        </w:tc>
        <w:tc>
          <w:tcPr>
            <w:tcW w:w="11348" w:type="dxa"/>
            <w:vAlign w:val="center"/>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企业通过建立管理方针、管理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企业充分识别和评价存在的改进机会，以持续满足顾客和相关方要求改进的方法措施包括：</w:t>
            </w:r>
          </w:p>
          <w:p>
            <w:pPr>
              <w:adjustRightInd w:val="0"/>
              <w:snapToGrid w:val="0"/>
              <w:spacing w:line="3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1）引导创新、修改和改进现有过程或实施新过程的突破项目；</w:t>
            </w:r>
          </w:p>
          <w:p>
            <w:pPr>
              <w:adjustRightInd w:val="0"/>
              <w:snapToGrid w:val="0"/>
              <w:spacing w:line="3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2）在现有过程中开展渐进、持续的改进活动；</w:t>
            </w:r>
          </w:p>
          <w:p>
            <w:pPr>
              <w:adjustRightInd w:val="0"/>
              <w:snapToGrid w:val="0"/>
              <w:spacing w:line="3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3）纠正所存在不符合的原因等。</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45" w:type="dxa"/>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预防和纠正措施</w:t>
            </w:r>
          </w:p>
        </w:tc>
        <w:tc>
          <w:tcPr>
            <w:tcW w:w="1039" w:type="dxa"/>
          </w:tcPr>
          <w:p>
            <w:pPr>
              <w:adjustRightInd w:val="0"/>
              <w:snapToGrid w:val="0"/>
              <w:spacing w:line="30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QE</w:t>
            </w:r>
          </w:p>
          <w:p>
            <w:pPr>
              <w:adjustRightInd w:val="0"/>
              <w:snapToGrid w:val="0"/>
              <w:spacing w:line="300" w:lineRule="exact"/>
              <w:jc w:val="left"/>
              <w:rPr>
                <w:rFonts w:hint="eastAsia" w:ascii="宋体" w:hAnsi="宋体" w:eastAsia="宋体" w:cs="宋体"/>
                <w:sz w:val="21"/>
                <w:szCs w:val="21"/>
              </w:rPr>
            </w:pPr>
            <w:r>
              <w:rPr>
                <w:rFonts w:hint="eastAsia" w:ascii="宋体" w:hAnsi="宋体" w:eastAsia="宋体" w:cs="宋体"/>
                <w:sz w:val="21"/>
                <w:szCs w:val="21"/>
              </w:rPr>
              <w:t>10.3</w:t>
            </w:r>
          </w:p>
        </w:tc>
        <w:tc>
          <w:tcPr>
            <w:tcW w:w="11348" w:type="dxa"/>
            <w:vAlign w:val="center"/>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cs="宋体"/>
                <w:sz w:val="21"/>
                <w:szCs w:val="21"/>
                <w:lang w:val="en-US" w:eastAsia="zh-CN"/>
              </w:rPr>
              <w:t>查企业编制了《纠正措施控制程序》，</w:t>
            </w:r>
            <w:r>
              <w:rPr>
                <w:rFonts w:hint="eastAsia" w:ascii="宋体" w:hAnsi="宋体" w:eastAsia="宋体" w:cs="宋体"/>
                <w:sz w:val="21"/>
                <w:szCs w:val="21"/>
                <w:lang w:val="en-US" w:eastAsia="zh-CN"/>
              </w:rPr>
              <w:t>并通过内审、管理评审、分析和评价、纠正和纠正措施、管理方针和管理目标等有关信息来源来实现对管理体系的持续改进，同时通过日常运行中发现的问题及时调整解决，以达到持续改进管理体系的目的，以提升职业健康安全管理体系绩效。</w:t>
            </w:r>
          </w:p>
          <w:p>
            <w:pPr>
              <w:adjustRightInd w:val="0"/>
              <w:snapToGrid w:val="0"/>
              <w:spacing w:line="3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日常监视和测量过程中发现的不合格、不符合要求相关责任部门及时制定相应的改进、纠正和纠正措施，以实现管理体系的持续改进。</w:t>
            </w:r>
          </w:p>
        </w:tc>
        <w:tc>
          <w:tcPr>
            <w:tcW w:w="1068" w:type="dxa"/>
          </w:tcPr>
          <w:p>
            <w:pPr>
              <w:adjustRightInd w:val="0"/>
              <w:snapToGrid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45" w:type="dxa"/>
            <w:vAlign w:val="center"/>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范围的确认、资质的确认、法律法规执行情况、质量抽查及顾客投诉情况、一阶段不符合验证</w:t>
            </w:r>
          </w:p>
        </w:tc>
        <w:tc>
          <w:tcPr>
            <w:tcW w:w="1039" w:type="dxa"/>
            <w:vAlign w:val="center"/>
          </w:tcPr>
          <w:p>
            <w:pPr>
              <w:adjustRightInd w:val="0"/>
              <w:snapToGrid w:val="0"/>
              <w:spacing w:line="300" w:lineRule="exact"/>
              <w:rPr>
                <w:rFonts w:hint="eastAsia" w:ascii="宋体" w:hAnsi="宋体" w:eastAsia="宋体" w:cs="宋体"/>
                <w:sz w:val="21"/>
                <w:szCs w:val="21"/>
              </w:rPr>
            </w:pPr>
          </w:p>
        </w:tc>
        <w:tc>
          <w:tcPr>
            <w:tcW w:w="11348" w:type="dxa"/>
            <w:vAlign w:val="center"/>
          </w:tcPr>
          <w:p>
            <w:pPr>
              <w:adjustRightInd w:val="0"/>
              <w:snapToGrid w:val="0"/>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范围的确认：见4.3条款审核记录，符合要求</w:t>
            </w:r>
          </w:p>
          <w:p>
            <w:pPr>
              <w:adjustRightInd w:val="0"/>
              <w:snapToGrid w:val="0"/>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资质的确认：见4.1条款审核记录，符合要求</w:t>
            </w:r>
          </w:p>
          <w:p>
            <w:pPr>
              <w:adjustRightInd w:val="0"/>
              <w:snapToGrid w:val="0"/>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法律法规执行情况：进行了合规性评价，符合要求；</w:t>
            </w:r>
          </w:p>
          <w:p>
            <w:pPr>
              <w:adjustRightInd w:val="0"/>
              <w:snapToGrid w:val="0"/>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质量抽查及顾客投诉情况：经询问自公司成立以来未发生过质量、安全和环境事故</w:t>
            </w:r>
            <w:r>
              <w:rPr>
                <w:rFonts w:hint="eastAsia" w:ascii="宋体" w:hAnsi="宋体" w:cs="宋体"/>
                <w:sz w:val="21"/>
                <w:szCs w:val="21"/>
                <w:lang w:val="en-US" w:eastAsia="zh-CN"/>
              </w:rPr>
              <w:t>，未发生过顾客和相关方投诉。</w:t>
            </w:r>
          </w:p>
          <w:p>
            <w:pPr>
              <w:adjustRightInd w:val="0"/>
              <w:snapToGrid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一阶段不符合验证：文审提出的不符合，已整改</w:t>
            </w:r>
          </w:p>
        </w:tc>
        <w:tc>
          <w:tcPr>
            <w:tcW w:w="1068" w:type="dxa"/>
          </w:tcPr>
          <w:p>
            <w:pPr>
              <w:adjustRightInd w:val="0"/>
              <w:snapToGrid w:val="0"/>
              <w:spacing w:line="300" w:lineRule="exact"/>
              <w:rPr>
                <w:rFonts w:hint="eastAsia" w:ascii="宋体" w:hAnsi="宋体" w:eastAsia="宋体" w:cs="宋体"/>
                <w:sz w:val="21"/>
                <w:szCs w:val="21"/>
                <w:lang w:val="en-US" w:eastAsia="zh-CN"/>
              </w:rPr>
            </w:pPr>
          </w:p>
        </w:tc>
      </w:tr>
    </w:tbl>
    <w:p>
      <w:pPr>
        <w:rPr>
          <w:rFonts w:hint="eastAsia" w:ascii="Times New Roman" w:hAnsi="Times New Roman" w:eastAsia="宋体" w:cs="Times New Roman"/>
          <w:bCs w:val="0"/>
          <w:spacing w:val="0"/>
          <w:kern w:val="2"/>
          <w:sz w:val="24"/>
          <w:szCs w:val="24"/>
          <w:lang w:val="en-US" w:eastAsia="zh-CN" w:bidi="ar-SA"/>
        </w:rPr>
      </w:pPr>
    </w:p>
    <w:p>
      <w:pPr>
        <w:pStyle w:val="10"/>
      </w:pPr>
      <w:r>
        <w:rPr>
          <w:rFonts w:hint="eastAsia"/>
          <w:lang w:eastAsia="zh-CN"/>
        </w:rPr>
        <w:t>注：不符合标注“</w:t>
      </w:r>
      <w:r>
        <w:rPr>
          <w:rFonts w:hint="eastAsia"/>
          <w:lang w:val="en-US" w:eastAsia="zh-CN"/>
        </w:rPr>
        <w:t>N</w:t>
      </w:r>
      <w:r>
        <w:rPr>
          <w:rFonts w:hint="eastAsia"/>
          <w:lang w:eastAsia="zh-CN"/>
        </w:rPr>
        <w:t>”</w:t>
      </w:r>
    </w:p>
    <w:tbl>
      <w:tblPr>
        <w:tblStyle w:val="15"/>
        <w:tblpPr w:leftFromText="180" w:rightFromText="180" w:vertAnchor="text" w:horzAnchor="page" w:tblpX="1090" w:tblpY="337"/>
        <w:tblOverlap w:val="never"/>
        <w:tblW w:w="15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039"/>
        <w:gridCol w:w="1134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45" w:type="dxa"/>
            <w:vMerge w:val="restart"/>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过程与活动、</w:t>
            </w:r>
          </w:p>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039" w:type="dxa"/>
            <w:vMerge w:val="restart"/>
            <w:vAlign w:val="center"/>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涉及</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条款</w:t>
            </w:r>
          </w:p>
        </w:tc>
        <w:tc>
          <w:tcPr>
            <w:tcW w:w="11348" w:type="dxa"/>
            <w:vAlign w:val="center"/>
          </w:tcPr>
          <w:p>
            <w:pPr>
              <w:adjustRightInd w:val="0"/>
              <w:snapToGrid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管理</w:t>
            </w:r>
            <w:r>
              <w:rPr>
                <w:rFonts w:hint="eastAsia" w:ascii="宋体" w:hAnsi="宋体" w:eastAsia="宋体" w:cs="宋体"/>
                <w:sz w:val="21"/>
                <w:szCs w:val="21"/>
              </w:rPr>
              <w:t>层         主管领导：</w:t>
            </w:r>
            <w:r>
              <w:rPr>
                <w:rFonts w:hint="eastAsia" w:ascii="宋体" w:hAnsi="宋体" w:cs="宋体"/>
                <w:sz w:val="21"/>
                <w:szCs w:val="21"/>
                <w:lang w:eastAsia="zh-CN"/>
              </w:rPr>
              <w:t>王鹏</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cs="宋体"/>
                <w:sz w:val="21"/>
                <w:szCs w:val="21"/>
                <w:lang w:eastAsia="zh-CN"/>
              </w:rPr>
              <w:t>黄珊珊</w:t>
            </w:r>
          </w:p>
        </w:tc>
        <w:tc>
          <w:tcPr>
            <w:tcW w:w="1068" w:type="dxa"/>
            <w:vMerge w:val="restart"/>
            <w:vAlign w:val="center"/>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45" w:type="dxa"/>
            <w:vMerge w:val="continue"/>
            <w:vAlign w:val="center"/>
          </w:tcPr>
          <w:p>
            <w:pPr>
              <w:adjustRightInd w:val="0"/>
              <w:snapToGrid w:val="0"/>
              <w:spacing w:line="300" w:lineRule="exact"/>
              <w:rPr>
                <w:rFonts w:hint="eastAsia" w:ascii="宋体" w:hAnsi="宋体" w:eastAsia="宋体" w:cs="宋体"/>
                <w:sz w:val="21"/>
                <w:szCs w:val="21"/>
              </w:rPr>
            </w:pPr>
          </w:p>
        </w:tc>
        <w:tc>
          <w:tcPr>
            <w:tcW w:w="1039" w:type="dxa"/>
            <w:vMerge w:val="continue"/>
            <w:vAlign w:val="center"/>
          </w:tcPr>
          <w:p>
            <w:pPr>
              <w:adjustRightInd w:val="0"/>
              <w:snapToGrid w:val="0"/>
              <w:spacing w:line="300" w:lineRule="exact"/>
              <w:rPr>
                <w:rFonts w:hint="eastAsia" w:ascii="宋体" w:hAnsi="宋体" w:eastAsia="宋体" w:cs="宋体"/>
                <w:sz w:val="21"/>
                <w:szCs w:val="21"/>
              </w:rPr>
            </w:pPr>
          </w:p>
        </w:tc>
        <w:tc>
          <w:tcPr>
            <w:tcW w:w="11348" w:type="dxa"/>
            <w:vAlign w:val="center"/>
          </w:tcPr>
          <w:p>
            <w:pPr>
              <w:adjustRightInd w:val="0"/>
              <w:snapToGrid w:val="0"/>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eastAsia="zh-CN"/>
              </w:rPr>
              <w:t>朱晓丽</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审核时间：2022</w:t>
            </w:r>
            <w:r>
              <w:rPr>
                <w:rFonts w:hint="eastAsia" w:ascii="宋体" w:hAnsi="宋体" w:cs="宋体"/>
                <w:sz w:val="21"/>
                <w:szCs w:val="21"/>
                <w:lang w:eastAsia="zh-CN"/>
              </w:rPr>
              <w:t>年</w:t>
            </w:r>
            <w:r>
              <w:rPr>
                <w:rFonts w:hint="eastAsia" w:ascii="宋体" w:hAnsi="宋体" w:cs="宋体"/>
                <w:sz w:val="21"/>
                <w:szCs w:val="21"/>
                <w:lang w:val="en-US" w:eastAsia="zh-CN"/>
              </w:rPr>
              <w:t>10月21日</w:t>
            </w:r>
          </w:p>
        </w:tc>
        <w:tc>
          <w:tcPr>
            <w:tcW w:w="1068" w:type="dxa"/>
            <w:vMerge w:val="continue"/>
          </w:tcPr>
          <w:p>
            <w:pPr>
              <w:adjustRightInd w:val="0"/>
              <w:snapToGrid w:val="0"/>
              <w:spacing w:line="3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45" w:type="dxa"/>
            <w:vMerge w:val="continue"/>
            <w:vAlign w:val="center"/>
          </w:tcPr>
          <w:p>
            <w:pPr>
              <w:adjustRightInd w:val="0"/>
              <w:snapToGrid w:val="0"/>
              <w:spacing w:line="300" w:lineRule="exact"/>
              <w:rPr>
                <w:rFonts w:hint="eastAsia" w:ascii="宋体" w:hAnsi="宋体" w:eastAsia="宋体" w:cs="宋体"/>
                <w:sz w:val="21"/>
                <w:szCs w:val="21"/>
              </w:rPr>
            </w:pPr>
          </w:p>
        </w:tc>
        <w:tc>
          <w:tcPr>
            <w:tcW w:w="1039" w:type="dxa"/>
            <w:vMerge w:val="continue"/>
            <w:vAlign w:val="center"/>
          </w:tcPr>
          <w:p>
            <w:pPr>
              <w:adjustRightInd w:val="0"/>
              <w:snapToGrid w:val="0"/>
              <w:spacing w:line="300" w:lineRule="exact"/>
              <w:rPr>
                <w:rFonts w:hint="eastAsia" w:ascii="宋体" w:hAnsi="宋体" w:eastAsia="宋体" w:cs="宋体"/>
                <w:sz w:val="21"/>
                <w:szCs w:val="21"/>
              </w:rPr>
            </w:pPr>
          </w:p>
        </w:tc>
        <w:tc>
          <w:tcPr>
            <w:tcW w:w="11348" w:type="dxa"/>
            <w:vAlign w:val="center"/>
          </w:tcPr>
          <w:p>
            <w:pPr>
              <w:spacing w:line="300" w:lineRule="exact"/>
              <w:jc w:val="left"/>
              <w:rPr>
                <w:rFonts w:hint="eastAsia" w:ascii="宋体" w:hAnsi="宋体" w:eastAsia="宋体" w:cs="宋体"/>
                <w:sz w:val="21"/>
                <w:szCs w:val="21"/>
                <w:lang w:val="en-US"/>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QE</w:t>
            </w:r>
            <w:r>
              <w:rPr>
                <w:rFonts w:hint="eastAsia" w:ascii="宋体" w:hAnsi="宋体" w:eastAsia="宋体" w:cs="宋体"/>
                <w:sz w:val="21"/>
                <w:szCs w:val="21"/>
              </w:rPr>
              <w:t>4.1/4.2/4.3/4.4/</w:t>
            </w:r>
            <w:r>
              <w:rPr>
                <w:rFonts w:hint="default" w:ascii="宋体" w:hAnsi="宋体" w:eastAsia="宋体" w:cs="宋体"/>
                <w:sz w:val="21"/>
                <w:szCs w:val="21"/>
              </w:rPr>
              <w:t>5.1/5.2/5.3</w:t>
            </w:r>
          </w:p>
        </w:tc>
        <w:tc>
          <w:tcPr>
            <w:tcW w:w="1068" w:type="dxa"/>
            <w:vMerge w:val="continue"/>
          </w:tcPr>
          <w:p>
            <w:pPr>
              <w:adjustRightInd w:val="0"/>
              <w:snapToGrid w:val="0"/>
              <w:spacing w:line="3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理解组织及其环境</w:t>
            </w:r>
          </w:p>
        </w:tc>
        <w:tc>
          <w:tcPr>
            <w:tcW w:w="1039" w:type="dxa"/>
          </w:tcPr>
          <w:p>
            <w:pPr>
              <w:adjustRightInd w:val="0"/>
              <w:snapToGrid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4.1</w:t>
            </w:r>
          </w:p>
        </w:tc>
        <w:tc>
          <w:tcPr>
            <w:tcW w:w="11348" w:type="dxa"/>
          </w:tcPr>
          <w:p>
            <w:pPr>
              <w:adjustRightInd w:val="0"/>
              <w:snapToGrid w:val="0"/>
              <w:spacing w:line="300" w:lineRule="exact"/>
              <w:rPr>
                <w:rFonts w:hint="eastAsia" w:ascii="宋体" w:hAnsi="宋体" w:cs="宋体"/>
                <w:sz w:val="21"/>
                <w:szCs w:val="21"/>
                <w:lang w:eastAsia="zh-CN"/>
              </w:rPr>
            </w:pPr>
            <w:r>
              <w:rPr>
                <w:rFonts w:hint="eastAsia" w:ascii="宋体" w:hAnsi="宋体" w:cs="宋体"/>
                <w:sz w:val="21"/>
                <w:szCs w:val="21"/>
                <w:lang w:eastAsia="zh-CN"/>
              </w:rPr>
              <w:t>●企业基本情况：</w:t>
            </w:r>
          </w:p>
          <w:p>
            <w:pPr>
              <w:adjustRightInd w:val="0"/>
              <w:snapToGrid w:val="0"/>
              <w:spacing w:line="300" w:lineRule="exact"/>
              <w:rPr>
                <w:rFonts w:hint="eastAsia" w:ascii="宋体" w:hAnsi="宋体" w:eastAsia="宋体" w:cs="宋体"/>
                <w:sz w:val="21"/>
                <w:szCs w:val="21"/>
                <w:lang w:eastAsia="zh-CN"/>
              </w:rPr>
            </w:pPr>
            <w:r>
              <w:rPr>
                <w:rFonts w:hint="eastAsia" w:ascii="宋体" w:hAnsi="宋体" w:cs="宋体"/>
                <w:sz w:val="21"/>
                <w:szCs w:val="21"/>
                <w:lang w:eastAsia="zh-CN"/>
              </w:rPr>
              <w:t>公司名称：沧县青山金属制品有限公司</w:t>
            </w:r>
            <w:r>
              <w:rPr>
                <w:rFonts w:hint="eastAsia" w:ascii="宋体" w:hAnsi="宋体" w:eastAsia="宋体" w:cs="宋体"/>
                <w:sz w:val="21"/>
                <w:szCs w:val="21"/>
                <w:lang w:eastAsia="zh-CN"/>
              </w:rPr>
              <w:t>，</w:t>
            </w:r>
            <w:r>
              <w:rPr>
                <w:rFonts w:hint="eastAsia" w:ascii="宋体" w:hAnsi="宋体" w:cs="宋体"/>
                <w:sz w:val="21"/>
                <w:szCs w:val="21"/>
                <w:lang w:eastAsia="zh-CN"/>
              </w:rPr>
              <w:t>注册地址</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经营地址：</w:t>
            </w:r>
            <w:r>
              <w:rPr>
                <w:rFonts w:hint="eastAsia" w:ascii="宋体" w:hAnsi="宋体" w:cs="宋体"/>
                <w:sz w:val="21"/>
                <w:szCs w:val="21"/>
                <w:lang w:val="en-US" w:eastAsia="zh-CN"/>
              </w:rPr>
              <w:t>沧县兴济镇北桃杏村</w:t>
            </w:r>
            <w:r>
              <w:rPr>
                <w:rFonts w:hint="eastAsia" w:ascii="宋体" w:hAnsi="宋体" w:eastAsia="宋体" w:cs="宋体"/>
                <w:sz w:val="21"/>
                <w:szCs w:val="21"/>
                <w:lang w:eastAsia="zh-CN"/>
              </w:rPr>
              <w:t>。主营业务：</w:t>
            </w:r>
            <w:r>
              <w:rPr>
                <w:rFonts w:hint="eastAsia" w:ascii="宋体" w:hAnsi="宋体" w:cs="宋体"/>
                <w:sz w:val="21"/>
                <w:szCs w:val="21"/>
                <w:lang w:eastAsia="zh-CN"/>
              </w:rPr>
              <w:t>铝合金铸件的加工</w:t>
            </w:r>
            <w:r>
              <w:rPr>
                <w:rFonts w:hint="eastAsia" w:ascii="宋体" w:hAnsi="宋体" w:eastAsia="宋体" w:cs="宋体"/>
                <w:sz w:val="21"/>
                <w:szCs w:val="21"/>
                <w:lang w:eastAsia="zh-CN"/>
              </w:rPr>
              <w:t>。</w:t>
            </w:r>
          </w:p>
          <w:p>
            <w:pPr>
              <w:adjustRightInd w:val="0"/>
              <w:snapToGrid w:val="0"/>
              <w:spacing w:line="300" w:lineRule="exact"/>
              <w:rPr>
                <w:rFonts w:hint="eastAsia" w:ascii="宋体" w:hAnsi="宋体" w:cs="宋体"/>
                <w:sz w:val="21"/>
                <w:szCs w:val="21"/>
                <w:lang w:eastAsia="zh-CN"/>
              </w:rPr>
            </w:pPr>
            <w:r>
              <w:rPr>
                <w:rFonts w:hint="eastAsia" w:ascii="宋体" w:hAnsi="宋体" w:cs="宋体"/>
                <w:sz w:val="21"/>
                <w:szCs w:val="21"/>
                <w:lang w:eastAsia="zh-CN"/>
              </w:rPr>
              <w:t>王总介绍了企业概况，企业取得环评等相关手续，取得了“安全生产标准化三级企业”证书“</w:t>
            </w:r>
            <w:r>
              <w:rPr>
                <w:rFonts w:hint="eastAsia" w:ascii="宋体" w:hAnsi="宋体" w:cs="宋体"/>
                <w:sz w:val="21"/>
                <w:szCs w:val="21"/>
                <w:lang w:val="en-US" w:eastAsia="zh-CN"/>
              </w:rPr>
              <w:t>AAA级信用企业</w:t>
            </w:r>
            <w:r>
              <w:rPr>
                <w:rFonts w:hint="default" w:ascii="宋体" w:hAnsi="宋体" w:cs="宋体"/>
                <w:sz w:val="21"/>
                <w:szCs w:val="21"/>
                <w:lang w:val="en-US" w:eastAsia="zh-CN"/>
              </w:rPr>
              <w:t>”</w:t>
            </w:r>
            <w:r>
              <w:rPr>
                <w:rFonts w:hint="eastAsia" w:ascii="宋体" w:hAnsi="宋体" w:cs="宋体"/>
                <w:sz w:val="21"/>
                <w:szCs w:val="21"/>
                <w:lang w:val="en-US" w:eastAsia="zh-CN"/>
              </w:rPr>
              <w:t>证书</w:t>
            </w:r>
            <w:bookmarkStart w:id="1" w:name="_GoBack"/>
            <w:bookmarkEnd w:id="1"/>
            <w:r>
              <w:rPr>
                <w:rFonts w:hint="eastAsia" w:ascii="宋体" w:hAnsi="宋体" w:cs="宋体"/>
                <w:sz w:val="21"/>
                <w:szCs w:val="21"/>
                <w:lang w:eastAsia="zh-CN"/>
              </w:rPr>
              <w:t>。工厂自动化程度较高，人员经验丰富，有稳定的市场，主要为新能源汽车厂家供货。</w:t>
            </w:r>
          </w:p>
          <w:p>
            <w:pPr>
              <w:adjustRightInd w:val="0"/>
              <w:snapToGrid w:val="0"/>
              <w:spacing w:line="300" w:lineRule="exact"/>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eastAsia="宋体" w:cs="宋体"/>
                <w:sz w:val="21"/>
                <w:szCs w:val="21"/>
              </w:rPr>
              <w:t>内</w:t>
            </w:r>
            <w:r>
              <w:rPr>
                <w:rFonts w:hint="eastAsia" w:ascii="宋体" w:hAnsi="宋体" w:eastAsia="宋体" w:cs="宋体"/>
                <w:sz w:val="21"/>
                <w:szCs w:val="21"/>
                <w:lang w:eastAsia="zh-CN"/>
              </w:rPr>
              <w:t>部因素和外部因素：</w:t>
            </w:r>
          </w:p>
          <w:p>
            <w:pPr>
              <w:adjustRightInd w:val="0"/>
              <w:snapToGrid w:val="0"/>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王总</w:t>
            </w:r>
            <w:r>
              <w:rPr>
                <w:rFonts w:hint="eastAsia" w:ascii="宋体" w:hAnsi="宋体" w:eastAsia="宋体" w:cs="宋体"/>
                <w:sz w:val="21"/>
                <w:szCs w:val="21"/>
                <w:lang w:val="en-US" w:eastAsia="zh-CN"/>
              </w:rPr>
              <w:t>介绍，定期组织公司管理层召开内外部评审会议。组织分析内外部环境并制定发展战略。</w:t>
            </w:r>
          </w:p>
          <w:p>
            <w:pPr>
              <w:adjustRightInd w:val="0"/>
              <w:snapToGrid w:val="0"/>
              <w:spacing w:line="3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查企业</w:t>
            </w:r>
            <w:r>
              <w:rPr>
                <w:rFonts w:hint="eastAsia" w:ascii="宋体" w:hAnsi="宋体" w:cs="宋体"/>
                <w:sz w:val="21"/>
                <w:szCs w:val="21"/>
                <w:lang w:val="en-US" w:eastAsia="zh-CN"/>
              </w:rPr>
              <w:t>管理手册相关条款</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综合部</w:t>
            </w:r>
            <w:r>
              <w:rPr>
                <w:rFonts w:hint="eastAsia" w:ascii="宋体" w:hAnsi="宋体" w:eastAsia="宋体" w:cs="宋体"/>
                <w:sz w:val="21"/>
                <w:szCs w:val="21"/>
                <w:lang w:val="en-US" w:eastAsia="zh-CN"/>
              </w:rPr>
              <w:t>为归口部门，</w:t>
            </w:r>
            <w:r>
              <w:rPr>
                <w:rFonts w:hint="eastAsia" w:ascii="宋体" w:hAnsi="宋体" w:eastAsia="宋体" w:cs="宋体"/>
                <w:sz w:val="21"/>
                <w:szCs w:val="21"/>
                <w:lang w:eastAsia="zh-CN"/>
              </w:rPr>
              <w:t>负责内部环境中组织总体表现、组织知识、组织文化、人力因素、</w:t>
            </w:r>
            <w:r>
              <w:rPr>
                <w:rFonts w:hint="eastAsia" w:ascii="宋体" w:hAnsi="宋体" w:eastAsia="宋体" w:cs="宋体"/>
                <w:sz w:val="21"/>
                <w:szCs w:val="21"/>
              </w:rPr>
              <w:t>组织治理相关因素的分析、评价。</w:t>
            </w:r>
            <w:r>
              <w:rPr>
                <w:rFonts w:hint="eastAsia" w:ascii="宋体" w:hAnsi="宋体" w:cs="宋体"/>
                <w:sz w:val="21"/>
                <w:szCs w:val="21"/>
                <w:lang w:eastAsia="zh-CN"/>
              </w:rPr>
              <w:t>各部门</w:t>
            </w:r>
            <w:r>
              <w:rPr>
                <w:rFonts w:hint="eastAsia" w:ascii="宋体" w:hAnsi="宋体" w:eastAsia="宋体" w:cs="宋体"/>
                <w:sz w:val="21"/>
                <w:szCs w:val="21"/>
              </w:rPr>
              <w:t>负责本部门的内外部环境分析、评价</w:t>
            </w:r>
            <w:r>
              <w:rPr>
                <w:rFonts w:hint="eastAsia" w:ascii="宋体" w:hAnsi="宋体" w:cs="宋体"/>
                <w:sz w:val="21"/>
                <w:szCs w:val="21"/>
                <w:lang w:eastAsia="zh-CN"/>
              </w:rPr>
              <w:t>，综合部汇总。</w:t>
            </w:r>
          </w:p>
          <w:p>
            <w:pPr>
              <w:adjustRightInd w:val="0"/>
              <w:snapToGrid w:val="0"/>
              <w:spacing w:line="300" w:lineRule="exact"/>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查</w:t>
            </w:r>
            <w:r>
              <w:rPr>
                <w:rFonts w:hint="eastAsia" w:ascii="宋体" w:hAnsi="宋体" w:cs="宋体"/>
                <w:sz w:val="21"/>
                <w:szCs w:val="21"/>
                <w:lang w:val="en-US" w:eastAsia="zh-CN"/>
              </w:rPr>
              <w:t>企业编制了《内外部环境因素、相关方识别和期望的识别与分析》，</w:t>
            </w:r>
            <w:r>
              <w:rPr>
                <w:rFonts w:hint="eastAsia" w:ascii="宋体" w:hAnsi="宋体" w:eastAsia="宋体" w:cs="宋体"/>
                <w:sz w:val="21"/>
                <w:szCs w:val="21"/>
                <w:lang w:val="en-US" w:eastAsia="zh-CN"/>
              </w:rPr>
              <w:t>评审内容包含内外部因素，具体现状描述，信息来源，优劣势分析。</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w:t>
            </w:r>
            <w:r>
              <w:rPr>
                <w:rFonts w:hint="eastAsia" w:ascii="宋体" w:hAnsi="宋体" w:cs="宋体"/>
                <w:bCs w:val="0"/>
                <w:spacing w:val="0"/>
                <w:kern w:val="2"/>
                <w:sz w:val="21"/>
                <w:szCs w:val="21"/>
                <w:lang w:val="en-US" w:eastAsia="zh-CN" w:bidi="ar-SA"/>
              </w:rPr>
              <w:t>查</w:t>
            </w:r>
            <w:r>
              <w:rPr>
                <w:rFonts w:hint="eastAsia" w:ascii="宋体" w:hAnsi="宋体" w:eastAsia="宋体" w:cs="宋体"/>
                <w:bCs w:val="0"/>
                <w:spacing w:val="0"/>
                <w:kern w:val="2"/>
                <w:sz w:val="21"/>
                <w:szCs w:val="21"/>
                <w:lang w:val="en-US" w:eastAsia="zh-CN" w:bidi="ar-SA"/>
              </w:rPr>
              <w:t>外部因素：</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1、法律法规：市场、最终消费者对产品符合性要求不断提升等；</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2、市场竞争情况：目前同类行业比较多，市场竞争较大；</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3、经济形式：市场竞争较大，利润空间较小；</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4、社会责任：公众对社会责任期望不断提升等；</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5、产业发展：客户需求及新技术发展变化等；</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6、疫情影响：疫情如果扩散会影响企业停工。</w:t>
            </w:r>
            <w:r>
              <w:rPr>
                <w:rFonts w:hint="eastAsia" w:ascii="宋体" w:hAnsi="宋体" w:cs="宋体"/>
                <w:bCs w:val="0"/>
                <w:spacing w:val="0"/>
                <w:kern w:val="2"/>
                <w:sz w:val="21"/>
                <w:szCs w:val="21"/>
                <w:lang w:val="en-US" w:eastAsia="zh-CN" w:bidi="ar-SA"/>
              </w:rPr>
              <w:t>等方面</w:t>
            </w:r>
          </w:p>
          <w:p>
            <w:pPr>
              <w:pStyle w:val="2"/>
              <w:ind w:firstLine="490"/>
              <w:rPr>
                <w:rFonts w:hint="eastAsia" w:ascii="宋体" w:hAnsi="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识别的内部环境主要有：</w:t>
            </w:r>
            <w:r>
              <w:rPr>
                <w:rFonts w:hint="eastAsia" w:ascii="宋体" w:hAnsi="宋体" w:cs="宋体"/>
                <w:bCs w:val="0"/>
                <w:spacing w:val="0"/>
                <w:kern w:val="2"/>
                <w:sz w:val="21"/>
                <w:szCs w:val="21"/>
                <w:lang w:val="en-US" w:eastAsia="zh-CN" w:bidi="ar-SA"/>
              </w:rPr>
              <w:t>企业文化、公司价值观、知识积累、绩效、财务因素、资源因素、人力因素等方面；</w:t>
            </w:r>
          </w:p>
          <w:p>
            <w:pPr>
              <w:spacing w:line="260" w:lineRule="exact"/>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编制了《内外部环境分析报告》，</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优势如：企业运作能力强，企业无负债，银行信誉好，具有较强的融资能力；员工素质较高，企业</w:t>
            </w:r>
            <w:r>
              <w:rPr>
                <w:rFonts w:hint="eastAsia" w:ascii="宋体" w:hAnsi="宋体" w:cs="宋体"/>
                <w:bCs w:val="0"/>
                <w:spacing w:val="0"/>
                <w:kern w:val="2"/>
                <w:sz w:val="21"/>
                <w:szCs w:val="21"/>
                <w:lang w:val="en-US" w:eastAsia="zh-CN" w:bidi="ar-SA"/>
              </w:rPr>
              <w:t>自动化较高，各种手续相对齐全</w:t>
            </w:r>
            <w:r>
              <w:rPr>
                <w:rFonts w:hint="eastAsia" w:ascii="宋体" w:hAnsi="宋体" w:eastAsia="宋体" w:cs="宋体"/>
                <w:bCs w:val="0"/>
                <w:spacing w:val="0"/>
                <w:kern w:val="2"/>
                <w:sz w:val="21"/>
                <w:szCs w:val="21"/>
                <w:lang w:val="en-US" w:eastAsia="zh-CN" w:bidi="ar-SA"/>
              </w:rPr>
              <w:t>等</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劣势如：缺乏强有效的营销经验等，已根据企业优劣势制定了发展策略。</w:t>
            </w:r>
          </w:p>
          <w:p>
            <w:pPr>
              <w:pStyle w:val="2"/>
              <w:ind w:firstLine="490"/>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总经理介绍，</w:t>
            </w:r>
            <w:r>
              <w:rPr>
                <w:rFonts w:hint="eastAsia" w:ascii="宋体" w:hAnsi="宋体" w:cs="宋体"/>
                <w:bCs w:val="0"/>
                <w:spacing w:val="0"/>
                <w:kern w:val="2"/>
                <w:sz w:val="21"/>
                <w:szCs w:val="21"/>
                <w:lang w:val="en-US" w:eastAsia="zh-CN" w:bidi="ar-SA"/>
              </w:rPr>
              <w:t>近几年新能源汽车发展迅速，为企业带来了良好机遇。</w:t>
            </w:r>
          </w:p>
          <w:p>
            <w:pPr>
              <w:pStyle w:val="2"/>
              <w:ind w:firstLine="490"/>
              <w:rPr>
                <w:rFonts w:hint="eastAsia" w:ascii="宋体" w:hAnsi="宋体" w:eastAsia="宋体" w:cs="宋体"/>
                <w:sz w:val="21"/>
                <w:szCs w:val="21"/>
              </w:rPr>
            </w:pPr>
            <w:r>
              <w:rPr>
                <w:rFonts w:hint="eastAsia" w:ascii="宋体" w:hAnsi="宋体" w:eastAsia="宋体" w:cs="宋体"/>
                <w:bCs w:val="0"/>
                <w:spacing w:val="0"/>
                <w:kern w:val="2"/>
                <w:sz w:val="21"/>
                <w:szCs w:val="21"/>
                <w:lang w:val="en-US" w:eastAsia="zh-CN" w:bidi="ar-SA"/>
              </w:rPr>
              <w:t>公司每年定期对这些内外部因素进行监视和评审，方式主要有：网</w:t>
            </w:r>
            <w:r>
              <w:rPr>
                <w:rFonts w:hint="eastAsia" w:ascii="宋体" w:hAnsi="宋体" w:eastAsia="宋体" w:cs="宋体"/>
                <w:sz w:val="21"/>
                <w:szCs w:val="21"/>
              </w:rPr>
              <w:t>站获取、顾客沟通（总结、会议、培训等形式）及内部沟通总结等方式。</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理解相关方的需求和期望</w:t>
            </w:r>
          </w:p>
        </w:tc>
        <w:tc>
          <w:tcPr>
            <w:tcW w:w="1039" w:type="dxa"/>
          </w:tcPr>
          <w:p>
            <w:pPr>
              <w:adjustRightInd w:val="0"/>
              <w:snapToGrid w:val="0"/>
              <w:spacing w:line="300" w:lineRule="exact"/>
              <w:rPr>
                <w:rFonts w:hint="eastAsia" w:ascii="宋体" w:hAnsi="宋体" w:eastAsia="宋体" w:cs="宋体"/>
                <w:sz w:val="21"/>
                <w:szCs w:val="21"/>
              </w:rPr>
            </w:pPr>
            <w:r>
              <w:rPr>
                <w:rFonts w:hint="eastAsia" w:ascii="宋体" w:hAnsi="宋体" w:cs="宋体"/>
                <w:sz w:val="21"/>
                <w:szCs w:val="21"/>
                <w:lang w:val="en-US" w:eastAsia="zh-CN"/>
              </w:rPr>
              <w:t xml:space="preserve">QE </w:t>
            </w:r>
            <w:r>
              <w:rPr>
                <w:rFonts w:hint="eastAsia" w:ascii="宋体" w:hAnsi="宋体" w:eastAsia="宋体" w:cs="宋体"/>
                <w:sz w:val="21"/>
                <w:szCs w:val="21"/>
              </w:rPr>
              <w:t xml:space="preserve">4.2 </w:t>
            </w:r>
          </w:p>
          <w:p>
            <w:pPr>
              <w:adjustRightInd w:val="0"/>
              <w:snapToGrid w:val="0"/>
              <w:spacing w:line="300" w:lineRule="exact"/>
              <w:rPr>
                <w:rFonts w:hint="eastAsia" w:ascii="宋体" w:hAnsi="宋体" w:eastAsia="宋体" w:cs="宋体"/>
                <w:sz w:val="21"/>
                <w:szCs w:val="21"/>
              </w:rPr>
            </w:pPr>
          </w:p>
        </w:tc>
        <w:tc>
          <w:tcPr>
            <w:tcW w:w="11348" w:type="dxa"/>
          </w:tcPr>
          <w:p>
            <w:pPr>
              <w:pStyle w:val="2"/>
              <w:ind w:firstLine="490"/>
              <w:rPr>
                <w:rFonts w:hint="eastAsia" w:ascii="宋体" w:hAnsi="宋体" w:cs="宋体"/>
                <w:bCs w:val="0"/>
                <w:spacing w:val="0"/>
                <w:kern w:val="2"/>
                <w:sz w:val="21"/>
                <w:szCs w:val="21"/>
                <w:lang w:val="en-US" w:eastAsia="zh-CN" w:bidi="ar-SA"/>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查见</w:t>
            </w:r>
            <w:r>
              <w:rPr>
                <w:rFonts w:hint="eastAsia" w:ascii="宋体" w:hAnsi="宋体" w:cs="宋体"/>
                <w:sz w:val="21"/>
                <w:szCs w:val="21"/>
                <w:lang w:val="en-US" w:eastAsia="zh-CN"/>
              </w:rPr>
              <w:t>编</w:t>
            </w:r>
            <w:r>
              <w:rPr>
                <w:rFonts w:hint="eastAsia" w:ascii="宋体" w:hAnsi="宋体" w:cs="宋体"/>
                <w:bCs w:val="0"/>
                <w:spacing w:val="0"/>
                <w:kern w:val="2"/>
                <w:sz w:val="21"/>
                <w:szCs w:val="21"/>
                <w:lang w:val="en-US" w:eastAsia="zh-CN" w:bidi="ar-SA"/>
              </w:rPr>
              <w:t>制了《相关方需求及期望清单》由综合部每年确定与质量、环境和职业健康安全管理体系有关的相关方，编制了《相关方的需求和期望》，评审了相关方的需求及监视指标，识别了相关方：顾客、股东或投资方、员工、银行、外部供方和合作伙伴、法律法规及监管机关等；第三方认证服务机构等；</w:t>
            </w:r>
          </w:p>
          <w:p>
            <w:pPr>
              <w:pStyle w:val="2"/>
              <w:ind w:firstLine="49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——抽第三方认证服务机构期望：满足认证条件、持续进行；制定了应对措施：内审，外审，管理评审，满足环境、安全体系要求，持续改进等；考核情况见内审报告，不符合报告。</w:t>
            </w:r>
          </w:p>
          <w:p>
            <w:pPr>
              <w:pStyle w:val="2"/>
              <w:ind w:firstLine="49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——抽员工需求和期</w:t>
            </w:r>
            <w:r>
              <w:rPr>
                <w:rFonts w:hint="eastAsia" w:ascii="宋体" w:hAnsi="宋体" w:eastAsia="宋体" w:cs="宋体"/>
                <w:bCs w:val="0"/>
                <w:spacing w:val="0"/>
                <w:kern w:val="2"/>
                <w:sz w:val="21"/>
                <w:szCs w:val="21"/>
                <w:lang w:val="en-US" w:eastAsia="zh-CN" w:bidi="ar-SA"/>
              </w:rPr>
              <w:t>望：1.改善作业环境2.提供培训机会；监视指</w:t>
            </w:r>
            <w:r>
              <w:rPr>
                <w:rFonts w:hint="eastAsia" w:ascii="宋体" w:hAnsi="宋体" w:cs="宋体"/>
                <w:bCs w:val="0"/>
                <w:spacing w:val="0"/>
                <w:kern w:val="2"/>
                <w:sz w:val="21"/>
                <w:szCs w:val="21"/>
                <w:lang w:val="en-US" w:eastAsia="zh-CN" w:bidi="ar-SA"/>
              </w:rPr>
              <w:t>标：1.站点安装风扇，缓解夏季高温影响。2.策划员工年度培训计划；监视指标：员工抱怨及时处理；</w:t>
            </w:r>
          </w:p>
          <w:p>
            <w:pPr>
              <w:pStyle w:val="2"/>
              <w:ind w:firstLine="49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另查其他相关方评审了其需求，建立了检测指标，符合要求。</w:t>
            </w:r>
          </w:p>
          <w:p>
            <w:pPr>
              <w:pStyle w:val="2"/>
              <w:ind w:firstLine="490"/>
              <w:rPr>
                <w:rFonts w:hint="eastAsia" w:ascii="宋体" w:hAnsi="宋体" w:eastAsia="宋体" w:cs="宋体"/>
                <w:sz w:val="21"/>
                <w:szCs w:val="21"/>
                <w:lang w:eastAsia="zh-CN"/>
              </w:rPr>
            </w:pPr>
            <w:r>
              <w:rPr>
                <w:rFonts w:hint="eastAsia" w:ascii="宋体" w:hAnsi="宋体" w:cs="宋体"/>
                <w:bCs w:val="0"/>
                <w:spacing w:val="0"/>
                <w:kern w:val="2"/>
                <w:sz w:val="21"/>
                <w:szCs w:val="21"/>
                <w:lang w:val="en-US" w:eastAsia="zh-CN" w:bidi="ar-SA"/>
              </w:rPr>
              <w:t>自体系运行以来，企业未发生处罚、相关方投诉事件。</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确定管理体系的范围</w:t>
            </w:r>
          </w:p>
        </w:tc>
        <w:tc>
          <w:tcPr>
            <w:tcW w:w="1039" w:type="dxa"/>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QE</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4.3</w:t>
            </w:r>
          </w:p>
          <w:p>
            <w:pPr>
              <w:adjustRightInd w:val="0"/>
              <w:snapToGrid w:val="0"/>
              <w:spacing w:line="300" w:lineRule="exact"/>
              <w:rPr>
                <w:rFonts w:hint="eastAsia" w:ascii="宋体" w:hAnsi="宋体" w:eastAsia="宋体" w:cs="宋体"/>
                <w:sz w:val="21"/>
                <w:szCs w:val="21"/>
              </w:rPr>
            </w:pPr>
          </w:p>
        </w:tc>
        <w:tc>
          <w:tcPr>
            <w:tcW w:w="11348" w:type="dxa"/>
          </w:tcPr>
          <w:p>
            <w:pPr>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查见公司《管理</w:t>
            </w:r>
            <w:r>
              <w:rPr>
                <w:rFonts w:hint="eastAsia" w:ascii="宋体" w:hAnsi="宋体" w:eastAsia="宋体" w:cs="宋体"/>
                <w:bCs w:val="0"/>
                <w:spacing w:val="0"/>
                <w:kern w:val="2"/>
                <w:sz w:val="21"/>
                <w:szCs w:val="21"/>
                <w:lang w:val="en-US" w:eastAsia="zh-CN" w:bidi="ar-SA"/>
              </w:rPr>
              <w:t>手册》QS-SC-2022，版</w:t>
            </w:r>
            <w:r>
              <w:rPr>
                <w:rFonts w:hint="eastAsia" w:ascii="宋体" w:hAnsi="宋体" w:eastAsia="宋体" w:cs="宋体"/>
                <w:sz w:val="21"/>
                <w:szCs w:val="21"/>
                <w:lang w:val="en-US" w:eastAsia="zh-CN"/>
              </w:rPr>
              <w:t>本A/0,发布实施时间：</w:t>
            </w:r>
            <w:r>
              <w:rPr>
                <w:rFonts w:hint="eastAsia" w:ascii="宋体" w:hAnsi="宋体" w:cs="宋体"/>
                <w:sz w:val="21"/>
                <w:szCs w:val="21"/>
                <w:lang w:val="en-US" w:eastAsia="zh-CN"/>
              </w:rPr>
              <w:t>2022</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 xml:space="preserve"> 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 xml:space="preserve">5 </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明确</w:t>
            </w:r>
            <w:r>
              <w:rPr>
                <w:rFonts w:hint="eastAsia" w:ascii="宋体" w:hAnsi="宋体" w:eastAsia="宋体" w:cs="宋体"/>
                <w:sz w:val="21"/>
                <w:szCs w:val="21"/>
                <w:lang w:val="en-US" w:eastAsia="zh-CN"/>
              </w:rPr>
              <w:t>了管理体系的范围及边界。</w:t>
            </w:r>
          </w:p>
          <w:p>
            <w:pPr>
              <w:spacing w:line="300" w:lineRule="exact"/>
              <w:rPr>
                <w:rFonts w:hint="eastAsia" w:ascii="宋体" w:hAnsi="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cs="宋体"/>
                <w:sz w:val="21"/>
                <w:szCs w:val="21"/>
                <w:lang w:val="en-US" w:eastAsia="zh-CN"/>
              </w:rPr>
              <w:t>公司认证的范围：</w:t>
            </w:r>
          </w:p>
          <w:p>
            <w:pPr>
              <w:spacing w:line="300" w:lineRule="exact"/>
              <w:rPr>
                <w:rFonts w:hint="eastAsia" w:ascii="宋体" w:hAnsi="宋体" w:cs="宋体"/>
                <w:sz w:val="21"/>
                <w:szCs w:val="21"/>
                <w:lang w:val="en-US" w:eastAsia="zh-CN"/>
              </w:rPr>
            </w:pPr>
            <w:r>
              <w:rPr>
                <w:rFonts w:hint="eastAsia" w:ascii="宋体" w:hAnsi="宋体" w:cs="宋体"/>
                <w:sz w:val="21"/>
                <w:szCs w:val="21"/>
                <w:lang w:val="en-US" w:eastAsia="zh-CN"/>
              </w:rPr>
              <w:t>Q：铝合金铸件的加工</w:t>
            </w:r>
          </w:p>
          <w:p>
            <w:pPr>
              <w:spacing w:line="300" w:lineRule="exact"/>
              <w:rPr>
                <w:rFonts w:hint="eastAsia" w:ascii="宋体" w:hAnsi="宋体" w:cs="宋体"/>
                <w:sz w:val="21"/>
                <w:szCs w:val="21"/>
                <w:lang w:val="en-US" w:eastAsia="zh-CN"/>
              </w:rPr>
            </w:pPr>
            <w:r>
              <w:rPr>
                <w:rFonts w:hint="eastAsia" w:ascii="宋体" w:hAnsi="宋体" w:cs="宋体"/>
                <w:sz w:val="21"/>
                <w:szCs w:val="21"/>
                <w:lang w:val="en-US" w:eastAsia="zh-CN"/>
              </w:rPr>
              <w:t>E：铝合金铸件的加工所涉及场所的相关环境管理活动</w:t>
            </w:r>
          </w:p>
          <w:p>
            <w:pPr>
              <w:spacing w:line="300" w:lineRule="exact"/>
              <w:rPr>
                <w:rFonts w:hint="eastAsia" w:ascii="宋体" w:hAnsi="宋体" w:cs="宋体"/>
                <w:sz w:val="21"/>
                <w:szCs w:val="21"/>
                <w:lang w:val="en-US" w:eastAsia="zh-CN"/>
              </w:rPr>
            </w:pPr>
            <w:r>
              <w:rPr>
                <w:rFonts w:hint="eastAsia" w:ascii="宋体" w:hAnsi="宋体" w:cs="宋体"/>
                <w:sz w:val="21"/>
                <w:szCs w:val="21"/>
                <w:lang w:val="en-US" w:eastAsia="zh-CN"/>
              </w:rPr>
              <w:t>O：铝合金铸件的加工所涉及场所的相关职业健康管理活动</w:t>
            </w:r>
          </w:p>
          <w:p>
            <w:pPr>
              <w:spacing w:line="300" w:lineRule="exact"/>
              <w:rPr>
                <w:rFonts w:asciiTheme="minorEastAsia" w:hAnsiTheme="minorEastAsia" w:eastAsiaTheme="minorEastAsia"/>
                <w:sz w:val="20"/>
              </w:rPr>
            </w:pPr>
            <w:r>
              <w:rPr>
                <w:rFonts w:hint="eastAsia" w:ascii="宋体" w:hAnsi="宋体" w:cs="宋体"/>
                <w:sz w:val="21"/>
                <w:szCs w:val="21"/>
                <w:lang w:val="en-US" w:eastAsia="zh-CN"/>
              </w:rPr>
              <w:t>注册地址：</w:t>
            </w:r>
            <w:bookmarkStart w:id="0" w:name="生产地址"/>
            <w:r>
              <w:rPr>
                <w:rFonts w:asciiTheme="minorEastAsia" w:hAnsiTheme="minorEastAsia" w:eastAsiaTheme="minorEastAsia"/>
                <w:sz w:val="20"/>
              </w:rPr>
              <w:t>沧县兴济镇北桃杏村</w:t>
            </w:r>
            <w:bookmarkEnd w:id="0"/>
          </w:p>
          <w:p>
            <w:pPr>
              <w:spacing w:line="300" w:lineRule="exact"/>
              <w:rPr>
                <w:rFonts w:hint="eastAsia" w:ascii="宋体" w:hAnsi="宋体" w:cs="宋体"/>
                <w:sz w:val="21"/>
                <w:szCs w:val="21"/>
                <w:lang w:val="en-US" w:eastAsia="zh-CN"/>
              </w:rPr>
            </w:pPr>
            <w:r>
              <w:rPr>
                <w:rFonts w:hint="eastAsia" w:ascii="宋体" w:hAnsi="宋体" w:cs="宋体"/>
                <w:sz w:val="21"/>
                <w:szCs w:val="21"/>
                <w:lang w:val="en-US" w:eastAsia="zh-CN"/>
              </w:rPr>
              <w:t>经营地址：</w:t>
            </w:r>
            <w:r>
              <w:rPr>
                <w:rFonts w:asciiTheme="minorEastAsia" w:hAnsiTheme="minorEastAsia" w:eastAsiaTheme="minorEastAsia"/>
                <w:sz w:val="20"/>
              </w:rPr>
              <w:t>沧县兴济镇北桃杏村</w:t>
            </w:r>
          </w:p>
          <w:p>
            <w:pPr>
              <w:spacing w:line="300" w:lineRule="exact"/>
              <w:rPr>
                <w:rFonts w:hint="eastAsia" w:ascii="宋体" w:hAnsi="宋体" w:eastAsia="宋体" w:cs="宋体"/>
                <w:bCs w:val="0"/>
                <w:sz w:val="21"/>
                <w:szCs w:val="21"/>
              </w:rPr>
            </w:pPr>
            <w:r>
              <w:rPr>
                <w:rFonts w:hint="eastAsia" w:ascii="宋体" w:hAnsi="宋体" w:cs="宋体"/>
                <w:sz w:val="21"/>
                <w:szCs w:val="21"/>
                <w:lang w:val="en-US" w:eastAsia="zh-CN"/>
              </w:rPr>
              <w:t>在确定管理体系的范围时考虑了公司的内外部因素和相关方的需求和期望，考虑了公司的产品和服务，考率了与公司的宗旨和战略方向一致。符</w:t>
            </w:r>
            <w:r>
              <w:rPr>
                <w:rFonts w:hint="eastAsia" w:ascii="宋体" w:hAnsi="宋体" w:eastAsia="宋体" w:cs="宋体"/>
                <w:bCs w:val="0"/>
                <w:spacing w:val="0"/>
                <w:kern w:val="2"/>
                <w:sz w:val="21"/>
                <w:szCs w:val="21"/>
                <w:lang w:val="en-US" w:eastAsia="zh-CN" w:bidi="ar-SA"/>
              </w:rPr>
              <w:t>合标准要求。</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管理体系及其过程</w:t>
            </w:r>
          </w:p>
        </w:tc>
        <w:tc>
          <w:tcPr>
            <w:tcW w:w="1039" w:type="dxa"/>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QE</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 xml:space="preserve">4.4 </w:t>
            </w:r>
          </w:p>
          <w:p>
            <w:pPr>
              <w:adjustRightInd w:val="0"/>
              <w:snapToGrid w:val="0"/>
              <w:spacing w:line="300" w:lineRule="exact"/>
              <w:rPr>
                <w:rFonts w:hint="eastAsia" w:ascii="宋体" w:hAnsi="宋体" w:eastAsia="宋体" w:cs="宋体"/>
                <w:sz w:val="21"/>
                <w:szCs w:val="21"/>
              </w:rPr>
            </w:pPr>
          </w:p>
        </w:tc>
        <w:tc>
          <w:tcPr>
            <w:tcW w:w="1134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zh-CN"/>
              </w:rPr>
              <w:t xml:space="preserve">本公司按照 </w:t>
            </w:r>
            <w:r>
              <w:rPr>
                <w:rFonts w:hint="eastAsia" w:ascii="宋体" w:hAnsi="宋体" w:eastAsia="宋体" w:cs="宋体"/>
                <w:sz w:val="21"/>
                <w:szCs w:val="21"/>
              </w:rPr>
              <w:t>GB/T19001-2016</w:t>
            </w:r>
            <w:r>
              <w:rPr>
                <w:rFonts w:hint="eastAsia" w:ascii="宋体" w:hAnsi="宋体" w:eastAsia="宋体" w:cs="宋体"/>
                <w:sz w:val="21"/>
                <w:szCs w:val="21"/>
                <w:lang w:val="zh-CN"/>
              </w:rPr>
              <w:t xml:space="preserve">、 </w:t>
            </w:r>
            <w:r>
              <w:rPr>
                <w:rFonts w:hint="eastAsia" w:ascii="宋体" w:hAnsi="宋体" w:eastAsia="宋体" w:cs="宋体"/>
                <w:sz w:val="21"/>
                <w:szCs w:val="21"/>
              </w:rPr>
              <w:t>GB/T2</w:t>
            </w:r>
            <w:r>
              <w:rPr>
                <w:rFonts w:hint="eastAsia" w:ascii="宋体" w:hAnsi="宋体" w:eastAsia="宋体" w:cs="宋体"/>
                <w:sz w:val="21"/>
                <w:szCs w:val="21"/>
                <w:lang w:val="zh-CN"/>
              </w:rPr>
              <w:t>4001</w:t>
            </w:r>
            <w:r>
              <w:rPr>
                <w:rFonts w:hint="eastAsia" w:ascii="宋体" w:hAnsi="宋体" w:eastAsia="宋体" w:cs="宋体"/>
                <w:sz w:val="21"/>
                <w:szCs w:val="21"/>
              </w:rPr>
              <w:t>-2016</w:t>
            </w:r>
            <w:r>
              <w:rPr>
                <w:rFonts w:hint="eastAsia" w:ascii="宋体" w:hAnsi="宋体" w:eastAsia="宋体" w:cs="宋体"/>
                <w:sz w:val="21"/>
                <w:szCs w:val="21"/>
                <w:lang w:val="zh-CN"/>
              </w:rPr>
              <w:t>和GB/T45001-2020</w:t>
            </w:r>
            <w:r>
              <w:rPr>
                <w:rFonts w:hint="eastAsia" w:ascii="宋体" w:hAnsi="宋体" w:eastAsia="宋体" w:cs="宋体"/>
                <w:sz w:val="21"/>
                <w:szCs w:val="21"/>
              </w:rPr>
              <w:t>等</w:t>
            </w:r>
            <w:r>
              <w:rPr>
                <w:rFonts w:hint="eastAsia" w:ascii="宋体" w:hAnsi="宋体" w:eastAsia="宋体" w:cs="宋体"/>
                <w:sz w:val="21"/>
                <w:szCs w:val="21"/>
                <w:lang w:val="zh-CN"/>
              </w:rPr>
              <w:t>标准的要求，</w:t>
            </w:r>
            <w:r>
              <w:rPr>
                <w:rFonts w:hint="eastAsia" w:ascii="宋体" w:hAnsi="宋体" w:eastAsia="宋体" w:cs="宋体"/>
                <w:sz w:val="21"/>
                <w:szCs w:val="21"/>
              </w:rPr>
              <w:t>识别了经营各环节的过程及其相互作用，建立了</w:t>
            </w:r>
            <w:r>
              <w:rPr>
                <w:rFonts w:hint="eastAsia" w:ascii="宋体" w:hAnsi="宋体" w:eastAsia="宋体" w:cs="宋体"/>
                <w:sz w:val="21"/>
                <w:szCs w:val="21"/>
                <w:lang w:val="zh-CN"/>
              </w:rPr>
              <w:t>质量/环境/职业健康安全管理体系,</w:t>
            </w:r>
            <w:r>
              <w:rPr>
                <w:rFonts w:hint="eastAsia" w:ascii="宋体" w:hAnsi="宋体" w:eastAsia="宋体" w:cs="宋体"/>
                <w:sz w:val="21"/>
                <w:szCs w:val="21"/>
              </w:rPr>
              <w:t>并形成文件，本公司全体员工将有效地贯彻执行并持续改进其有效性。</w:t>
            </w:r>
          </w:p>
          <w:p>
            <w:pPr>
              <w:pStyle w:val="2"/>
              <w:adjustRightInd w:val="0"/>
              <w:snapToGrid w:val="0"/>
              <w:spacing w:before="0" w:after="0" w:line="300" w:lineRule="exact"/>
              <w:rPr>
                <w:rFonts w:hint="eastAsia" w:ascii="宋体" w:hAnsi="宋体" w:eastAsia="宋体" w:cs="宋体"/>
                <w:bCs w:val="0"/>
                <w:sz w:val="21"/>
                <w:szCs w:val="21"/>
              </w:rPr>
            </w:pPr>
            <w:r>
              <w:rPr>
                <w:rFonts w:hint="eastAsia" w:ascii="宋体" w:hAnsi="宋体" w:eastAsia="宋体" w:cs="宋体"/>
                <w:bCs w:val="0"/>
                <w:sz w:val="21"/>
                <w:szCs w:val="21"/>
              </w:rPr>
              <w:t>管理体系及其过程：公司于202</w:t>
            </w:r>
            <w:r>
              <w:rPr>
                <w:rFonts w:hint="eastAsia" w:ascii="宋体" w:hAnsi="宋体" w:cs="宋体"/>
                <w:bCs w:val="0"/>
                <w:sz w:val="21"/>
                <w:szCs w:val="21"/>
                <w:lang w:val="en-US" w:eastAsia="zh-CN"/>
              </w:rPr>
              <w:t>2</w:t>
            </w:r>
            <w:r>
              <w:rPr>
                <w:rFonts w:hint="eastAsia" w:ascii="宋体" w:hAnsi="宋体" w:eastAsia="宋体" w:cs="宋体"/>
                <w:bCs w:val="0"/>
                <w:sz w:val="21"/>
                <w:szCs w:val="21"/>
              </w:rPr>
              <w:t>年</w:t>
            </w:r>
            <w:r>
              <w:rPr>
                <w:rFonts w:hint="eastAsia" w:ascii="宋体" w:hAnsi="宋体" w:cs="宋体"/>
                <w:bCs w:val="0"/>
                <w:sz w:val="21"/>
                <w:szCs w:val="21"/>
                <w:lang w:val="en-US" w:eastAsia="zh-CN"/>
              </w:rPr>
              <w:t>1月初</w:t>
            </w:r>
            <w:r>
              <w:rPr>
                <w:rFonts w:hint="eastAsia" w:ascii="宋体" w:hAnsi="宋体" w:eastAsia="宋体" w:cs="宋体"/>
                <w:bCs w:val="0"/>
                <w:sz w:val="21"/>
                <w:szCs w:val="21"/>
              </w:rPr>
              <w:t>对质量/环境/职业健康安全管理体系进行策划，识别了各个过程、环境因素、危险源等，编制了管理手册、程序文件、</w:t>
            </w:r>
            <w:r>
              <w:rPr>
                <w:rFonts w:hint="eastAsia" w:ascii="宋体" w:hAnsi="宋体" w:eastAsia="宋体" w:cs="宋体"/>
                <w:bCs w:val="0"/>
                <w:sz w:val="21"/>
                <w:szCs w:val="21"/>
                <w:lang w:eastAsia="zh-CN"/>
              </w:rPr>
              <w:t>三级作业</w:t>
            </w:r>
            <w:r>
              <w:rPr>
                <w:rFonts w:hint="eastAsia" w:ascii="宋体" w:hAnsi="宋体" w:eastAsia="宋体" w:cs="宋体"/>
                <w:bCs w:val="0"/>
                <w:sz w:val="21"/>
                <w:szCs w:val="21"/>
              </w:rPr>
              <w:t>文件及记录，于202</w:t>
            </w:r>
            <w:r>
              <w:rPr>
                <w:rFonts w:hint="eastAsia" w:ascii="宋体" w:hAnsi="宋体" w:cs="宋体"/>
                <w:bCs w:val="0"/>
                <w:sz w:val="21"/>
                <w:szCs w:val="21"/>
                <w:lang w:val="en-US" w:eastAsia="zh-CN"/>
              </w:rPr>
              <w:t>2</w:t>
            </w:r>
            <w:r>
              <w:rPr>
                <w:rFonts w:hint="eastAsia" w:ascii="宋体" w:hAnsi="宋体" w:eastAsia="宋体" w:cs="宋体"/>
                <w:bCs w:val="0"/>
                <w:sz w:val="21"/>
                <w:szCs w:val="21"/>
              </w:rPr>
              <w:t>年</w:t>
            </w:r>
            <w:r>
              <w:rPr>
                <w:rFonts w:hint="eastAsia" w:ascii="宋体" w:hAnsi="宋体" w:cs="宋体"/>
                <w:bCs w:val="0"/>
                <w:sz w:val="21"/>
                <w:szCs w:val="21"/>
                <w:lang w:val="en-US" w:eastAsia="zh-CN"/>
              </w:rPr>
              <w:t>1</w:t>
            </w:r>
            <w:r>
              <w:rPr>
                <w:rFonts w:hint="eastAsia" w:ascii="宋体" w:hAnsi="宋体" w:eastAsia="宋体" w:cs="宋体"/>
                <w:bCs w:val="0"/>
                <w:sz w:val="21"/>
                <w:szCs w:val="21"/>
              </w:rPr>
              <w:t>月</w:t>
            </w:r>
            <w:r>
              <w:rPr>
                <w:rFonts w:hint="eastAsia" w:ascii="宋体" w:hAnsi="宋体" w:cs="宋体"/>
                <w:bCs w:val="0"/>
                <w:sz w:val="21"/>
                <w:szCs w:val="21"/>
                <w:lang w:val="en-US" w:eastAsia="zh-CN"/>
              </w:rPr>
              <w:t>5</w:t>
            </w:r>
            <w:r>
              <w:rPr>
                <w:rFonts w:hint="eastAsia" w:ascii="宋体" w:hAnsi="宋体" w:eastAsia="宋体" w:cs="宋体"/>
                <w:bCs w:val="0"/>
                <w:sz w:val="21"/>
                <w:szCs w:val="21"/>
              </w:rPr>
              <w:t>日</w:t>
            </w:r>
            <w:r>
              <w:rPr>
                <w:rFonts w:hint="eastAsia" w:ascii="宋体" w:hAnsi="宋体" w:eastAsia="宋体" w:cs="宋体"/>
                <w:bCs w:val="0"/>
                <w:sz w:val="21"/>
                <w:szCs w:val="21"/>
                <w:lang w:val="zh-CN"/>
              </w:rPr>
              <w:t>发布</w:t>
            </w:r>
            <w:r>
              <w:rPr>
                <w:rFonts w:hint="eastAsia" w:ascii="宋体" w:hAnsi="宋体" w:eastAsia="宋体" w:cs="宋体"/>
                <w:bCs w:val="0"/>
                <w:sz w:val="21"/>
                <w:szCs w:val="21"/>
              </w:rPr>
              <w:t>并</w:t>
            </w:r>
            <w:r>
              <w:rPr>
                <w:rFonts w:hint="eastAsia" w:ascii="宋体" w:hAnsi="宋体" w:eastAsia="宋体" w:cs="宋体"/>
                <w:bCs w:val="0"/>
                <w:sz w:val="21"/>
                <w:szCs w:val="21"/>
                <w:lang w:val="zh-CN"/>
              </w:rPr>
              <w:t>实施。</w:t>
            </w:r>
            <w:r>
              <w:rPr>
                <w:rFonts w:hint="eastAsia" w:ascii="宋体" w:hAnsi="宋体" w:cs="宋体"/>
                <w:bCs w:val="0"/>
                <w:sz w:val="21"/>
                <w:szCs w:val="21"/>
                <w:lang w:val="zh-CN"/>
              </w:rPr>
              <w:t>经过九个多月</w:t>
            </w:r>
            <w:r>
              <w:rPr>
                <w:rFonts w:hint="eastAsia" w:ascii="宋体" w:hAnsi="宋体" w:eastAsia="宋体" w:cs="宋体"/>
                <w:bCs w:val="0"/>
                <w:sz w:val="21"/>
                <w:szCs w:val="21"/>
              </w:rPr>
              <w:t>的运行，管理体系运行正常。</w:t>
            </w:r>
          </w:p>
          <w:p>
            <w:pPr>
              <w:pStyle w:val="2"/>
              <w:adjustRightInd w:val="0"/>
              <w:snapToGrid w:val="0"/>
              <w:spacing w:before="0" w:after="0" w:line="300" w:lineRule="exact"/>
              <w:rPr>
                <w:rFonts w:hint="default" w:ascii="宋体" w:hAnsi="宋体" w:eastAsia="宋体" w:cs="宋体"/>
                <w:bCs w:val="0"/>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cs="宋体"/>
                <w:sz w:val="21"/>
                <w:szCs w:val="21"/>
                <w:lang w:val="en-US" w:eastAsia="zh-CN"/>
              </w:rPr>
              <w:t>经识别，</w:t>
            </w:r>
            <w:r>
              <w:rPr>
                <w:rFonts w:hint="eastAsia" w:ascii="宋体" w:hAnsi="宋体" w:eastAsia="宋体" w:cs="宋体"/>
                <w:bCs w:val="0"/>
                <w:sz w:val="21"/>
                <w:szCs w:val="21"/>
                <w:lang w:eastAsia="zh-CN"/>
              </w:rPr>
              <w:t>外包过程</w:t>
            </w:r>
            <w:r>
              <w:rPr>
                <w:rFonts w:hint="eastAsia" w:ascii="宋体" w:hAnsi="宋体" w:cs="宋体"/>
                <w:bCs w:val="0"/>
                <w:sz w:val="21"/>
                <w:szCs w:val="21"/>
                <w:lang w:eastAsia="zh-CN"/>
              </w:rPr>
              <w:t>为</w:t>
            </w:r>
            <w:r>
              <w:rPr>
                <w:rFonts w:hint="eastAsia" w:ascii="宋体" w:hAnsi="宋体" w:cs="宋体"/>
                <w:bCs w:val="0"/>
                <w:sz w:val="21"/>
                <w:szCs w:val="21"/>
                <w:lang w:val="en-US" w:eastAsia="zh-CN"/>
              </w:rPr>
              <w:t>:金属模具加工、危废处置</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领导作用和承诺</w:t>
            </w:r>
          </w:p>
        </w:tc>
        <w:tc>
          <w:tcPr>
            <w:tcW w:w="1039" w:type="dxa"/>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QE</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5.1</w:t>
            </w:r>
          </w:p>
          <w:p>
            <w:pPr>
              <w:adjustRightInd w:val="0"/>
              <w:snapToGrid w:val="0"/>
              <w:spacing w:line="300" w:lineRule="exact"/>
              <w:rPr>
                <w:rFonts w:hint="eastAsia" w:ascii="宋体" w:hAnsi="宋体" w:eastAsia="宋体" w:cs="宋体"/>
                <w:sz w:val="21"/>
                <w:szCs w:val="21"/>
              </w:rPr>
            </w:pPr>
          </w:p>
        </w:tc>
        <w:tc>
          <w:tcPr>
            <w:tcW w:w="11348" w:type="dxa"/>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rPr>
              <w:t>公司最高管理者通过以下活动证实其对质量环境职业健康安全管理体系的领导作用和承诺：</w:t>
            </w:r>
            <w:r>
              <w:rPr>
                <w:rFonts w:hint="eastAsia" w:ascii="宋体" w:hAnsi="宋体" w:eastAsia="宋体" w:cs="宋体"/>
                <w:sz w:val="21"/>
                <w:szCs w:val="21"/>
              </w:rPr>
              <w:br w:type="textWrapping"/>
            </w:r>
            <w:r>
              <w:rPr>
                <w:rFonts w:hint="eastAsia" w:ascii="宋体" w:hAnsi="宋体" w:cs="宋体"/>
                <w:sz w:val="21"/>
                <w:szCs w:val="21"/>
                <w:lang w:eastAsia="zh-CN"/>
              </w:rPr>
              <w:t>制定方针和目标，建立培训系统，建立合理的组织结构，建立有效的沟通渠道，创造良好的氛围，推动改进，对管理体系有效性承担责任等方面；</w:t>
            </w:r>
          </w:p>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与</w:t>
            </w:r>
            <w:r>
              <w:rPr>
                <w:rFonts w:hint="eastAsia" w:ascii="宋体" w:hAnsi="宋体" w:cs="宋体"/>
                <w:sz w:val="21"/>
                <w:szCs w:val="21"/>
                <w:lang w:eastAsia="zh-CN"/>
              </w:rPr>
              <w:t>总经理王鹏</w:t>
            </w:r>
            <w:r>
              <w:rPr>
                <w:rFonts w:hint="eastAsia" w:ascii="宋体" w:hAnsi="宋体" w:eastAsia="宋体" w:cs="宋体"/>
                <w:sz w:val="21"/>
                <w:szCs w:val="21"/>
                <w:lang w:eastAsia="zh-CN"/>
              </w:rPr>
              <w:t>沟通，有较强的管意识，能说出自己对于体系的领导作用和承诺，回答基本正确。</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公司最高管理者组织相关部门制订发展规划、管理承诺、管理方针及管理目标，</w:t>
            </w:r>
            <w:r>
              <w:rPr>
                <w:rFonts w:hint="eastAsia" w:ascii="宋体" w:hAnsi="宋体" w:eastAsia="宋体" w:cs="宋体"/>
                <w:sz w:val="21"/>
                <w:szCs w:val="21"/>
                <w:lang w:eastAsia="zh-CN"/>
              </w:rPr>
              <w:t>始终致力于顾客满意，</w:t>
            </w:r>
            <w:r>
              <w:rPr>
                <w:rFonts w:hint="eastAsia" w:ascii="宋体" w:hAnsi="宋体" w:eastAsia="宋体" w:cs="宋体"/>
                <w:sz w:val="21"/>
                <w:szCs w:val="21"/>
              </w:rPr>
              <w:t>提高员工队伍整体素质。</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管理方针</w:t>
            </w:r>
          </w:p>
        </w:tc>
        <w:tc>
          <w:tcPr>
            <w:tcW w:w="1039" w:type="dxa"/>
          </w:tcPr>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QE</w:t>
            </w:r>
          </w:p>
          <w:p>
            <w:pPr>
              <w:rPr>
                <w:rFonts w:hint="eastAsia" w:ascii="宋体" w:hAnsi="宋体" w:eastAsia="宋体" w:cs="宋体"/>
                <w:sz w:val="21"/>
                <w:szCs w:val="21"/>
              </w:rPr>
            </w:pPr>
            <w:r>
              <w:rPr>
                <w:rFonts w:hint="eastAsia" w:ascii="宋体" w:hAnsi="宋体" w:eastAsia="宋体" w:cs="宋体"/>
                <w:sz w:val="21"/>
                <w:szCs w:val="21"/>
              </w:rPr>
              <w:t>5.2</w:t>
            </w:r>
          </w:p>
          <w:p>
            <w:pPr>
              <w:rPr>
                <w:rFonts w:hint="eastAsia" w:ascii="宋体" w:hAnsi="宋体" w:eastAsia="宋体" w:cs="宋体"/>
                <w:sz w:val="21"/>
                <w:szCs w:val="21"/>
              </w:rPr>
            </w:pPr>
          </w:p>
        </w:tc>
        <w:tc>
          <w:tcPr>
            <w:tcW w:w="11348" w:type="dxa"/>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查见《</w:t>
            </w:r>
            <w:r>
              <w:rPr>
                <w:rFonts w:hint="eastAsia" w:ascii="宋体" w:hAnsi="宋体" w:eastAsia="宋体" w:cs="宋体"/>
                <w:sz w:val="21"/>
                <w:szCs w:val="21"/>
              </w:rPr>
              <w:t>管</w:t>
            </w:r>
            <w:r>
              <w:rPr>
                <w:rFonts w:hint="eastAsia" w:ascii="宋体" w:hAnsi="宋体" w:eastAsia="宋体" w:cs="宋体"/>
                <w:sz w:val="21"/>
                <w:szCs w:val="21"/>
                <w:lang w:eastAsia="zh-CN"/>
              </w:rPr>
              <w:t>理手册》</w:t>
            </w:r>
            <w:r>
              <w:rPr>
                <w:rFonts w:hint="eastAsia" w:ascii="宋体" w:hAnsi="宋体" w:cs="宋体"/>
                <w:sz w:val="21"/>
                <w:szCs w:val="21"/>
                <w:lang w:eastAsia="zh-CN"/>
              </w:rPr>
              <w:t>QS-SC-2022</w:t>
            </w:r>
            <w:r>
              <w:rPr>
                <w:rFonts w:hint="eastAsia" w:ascii="宋体" w:hAnsi="宋体" w:eastAsia="宋体" w:cs="宋体"/>
                <w:sz w:val="21"/>
                <w:szCs w:val="21"/>
                <w:lang w:eastAsia="zh-CN"/>
              </w:rPr>
              <w:t>，</w:t>
            </w:r>
            <w:r>
              <w:rPr>
                <w:rFonts w:hint="eastAsia" w:ascii="宋体" w:hAnsi="宋体" w:eastAsia="宋体" w:cs="宋体"/>
                <w:sz w:val="21"/>
                <w:szCs w:val="21"/>
              </w:rPr>
              <w:t>制定了</w:t>
            </w:r>
            <w:r>
              <w:rPr>
                <w:rFonts w:hint="eastAsia" w:ascii="宋体" w:hAnsi="宋体" w:eastAsia="宋体" w:cs="宋体"/>
                <w:sz w:val="21"/>
                <w:szCs w:val="21"/>
                <w:lang w:eastAsia="zh-CN"/>
              </w:rPr>
              <w:t>企业的</w:t>
            </w:r>
            <w:r>
              <w:rPr>
                <w:rFonts w:hint="eastAsia" w:ascii="宋体" w:hAnsi="宋体" w:eastAsia="宋体" w:cs="宋体"/>
                <w:sz w:val="21"/>
                <w:szCs w:val="21"/>
              </w:rPr>
              <w:t>管理方针：</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质量方针：问鼎未来，开拓进取，坚定信念。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环境方针：遵守法规，节能减废，预防污染，持续改进。</w:t>
            </w:r>
          </w:p>
          <w:p>
            <w:pPr>
              <w:rPr>
                <w:rFonts w:hint="eastAsia" w:ascii="宋体" w:hAnsi="宋体" w:eastAsia="宋体" w:cs="宋体"/>
                <w:sz w:val="21"/>
                <w:szCs w:val="21"/>
              </w:rPr>
            </w:pPr>
            <w:r>
              <w:rPr>
                <w:rFonts w:hint="eastAsia" w:ascii="宋体" w:hAnsi="宋体" w:eastAsia="宋体" w:cs="宋体"/>
                <w:sz w:val="21"/>
                <w:szCs w:val="21"/>
              </w:rPr>
              <w:t>公司的管理方针记录在</w:t>
            </w:r>
            <w:r>
              <w:rPr>
                <w:rFonts w:hint="eastAsia" w:ascii="宋体" w:hAnsi="宋体" w:eastAsia="宋体" w:cs="宋体"/>
                <w:sz w:val="21"/>
                <w:szCs w:val="21"/>
                <w:lang w:eastAsia="zh-CN"/>
              </w:rPr>
              <w:t>《</w:t>
            </w:r>
            <w:r>
              <w:rPr>
                <w:rFonts w:hint="eastAsia" w:ascii="宋体" w:hAnsi="宋体" w:eastAsia="宋体" w:cs="宋体"/>
                <w:sz w:val="21"/>
                <w:szCs w:val="21"/>
              </w:rPr>
              <w:t>管理手册</w:t>
            </w:r>
            <w:r>
              <w:rPr>
                <w:rFonts w:hint="eastAsia" w:ascii="宋体" w:hAnsi="宋体" w:eastAsia="宋体" w:cs="宋体"/>
                <w:sz w:val="21"/>
                <w:szCs w:val="21"/>
                <w:lang w:eastAsia="zh-CN"/>
              </w:rPr>
              <w:t>》</w:t>
            </w:r>
            <w:r>
              <w:rPr>
                <w:rFonts w:hint="eastAsia" w:ascii="宋体" w:hAnsi="宋体" w:eastAsia="宋体" w:cs="宋体"/>
                <w:sz w:val="21"/>
                <w:szCs w:val="21"/>
              </w:rPr>
              <w:t>中，并在组织内部得到广泛的宣传、沟通。</w:t>
            </w:r>
          </w:p>
          <w:p>
            <w:pPr>
              <w:rPr>
                <w:rFonts w:hint="eastAsia" w:ascii="宋体" w:hAnsi="宋体" w:eastAsia="宋体" w:cs="宋体"/>
                <w:sz w:val="21"/>
                <w:szCs w:val="21"/>
              </w:rPr>
            </w:pPr>
            <w:r>
              <w:rPr>
                <w:rFonts w:hint="eastAsia" w:ascii="宋体" w:hAnsi="宋体" w:eastAsia="宋体" w:cs="宋体"/>
                <w:sz w:val="21"/>
                <w:szCs w:val="21"/>
              </w:rPr>
              <w:t>方针是管理层共同研究决定的，结合了公司</w:t>
            </w:r>
            <w:r>
              <w:rPr>
                <w:rFonts w:hint="eastAsia" w:ascii="宋体" w:hAnsi="宋体" w:eastAsia="宋体" w:cs="宋体"/>
                <w:sz w:val="21"/>
                <w:szCs w:val="21"/>
                <w:lang w:eastAsia="zh-CN"/>
              </w:rPr>
              <w:t>服务</w:t>
            </w:r>
            <w:r>
              <w:rPr>
                <w:rFonts w:hint="eastAsia" w:ascii="宋体" w:hAnsi="宋体" w:eastAsia="宋体" w:cs="宋体"/>
                <w:sz w:val="21"/>
                <w:szCs w:val="21"/>
              </w:rPr>
              <w:t>特点和目前的实际状况。方针初步制定后，由公司员工进行讨论，在公司</w:t>
            </w:r>
            <w:r>
              <w:rPr>
                <w:rFonts w:hint="eastAsia" w:ascii="宋体" w:hAnsi="宋体" w:eastAsia="宋体" w:cs="宋体"/>
                <w:sz w:val="21"/>
                <w:szCs w:val="21"/>
                <w:lang w:eastAsia="zh-CN"/>
              </w:rPr>
              <w:t>管理</w:t>
            </w:r>
            <w:r>
              <w:rPr>
                <w:rFonts w:hint="eastAsia" w:ascii="宋体" w:hAnsi="宋体" w:eastAsia="宋体" w:cs="宋体"/>
                <w:sz w:val="21"/>
                <w:szCs w:val="21"/>
              </w:rPr>
              <w:t>体系文件的发布会上，对管理方针和目标进行了讲解，使全体员工能够理解。同时，</w:t>
            </w:r>
            <w:r>
              <w:rPr>
                <w:rFonts w:hint="eastAsia" w:ascii="宋体" w:hAnsi="宋体" w:eastAsia="宋体" w:cs="宋体"/>
                <w:sz w:val="21"/>
                <w:szCs w:val="21"/>
                <w:lang w:eastAsia="zh-CN"/>
              </w:rPr>
              <w:t>通过贯标培训</w:t>
            </w:r>
            <w:r>
              <w:rPr>
                <w:rFonts w:hint="eastAsia" w:ascii="宋体" w:hAnsi="宋体" w:eastAsia="宋体" w:cs="宋体"/>
                <w:sz w:val="21"/>
                <w:szCs w:val="21"/>
              </w:rPr>
              <w:t>、文件下发，内部理解，实施过程中，始终强调方针的意义的内涵。</w:t>
            </w:r>
          </w:p>
          <w:p>
            <w:pPr>
              <w:rPr>
                <w:rFonts w:hint="eastAsia" w:ascii="宋体" w:hAnsi="宋体" w:eastAsia="宋体" w:cs="宋体"/>
                <w:sz w:val="21"/>
                <w:szCs w:val="21"/>
              </w:rPr>
            </w:pPr>
            <w:r>
              <w:rPr>
                <w:rFonts w:hint="eastAsia" w:ascii="宋体" w:hAnsi="宋体" w:eastAsia="宋体" w:cs="宋体"/>
                <w:sz w:val="21"/>
                <w:szCs w:val="21"/>
                <w:lang w:eastAsia="zh-CN"/>
              </w:rPr>
              <w:t>管理方针</w:t>
            </w:r>
            <w:r>
              <w:rPr>
                <w:rFonts w:hint="eastAsia" w:ascii="宋体" w:hAnsi="宋体" w:eastAsia="宋体" w:cs="宋体"/>
                <w:sz w:val="21"/>
                <w:szCs w:val="21"/>
              </w:rPr>
              <w:t>通过</w:t>
            </w:r>
            <w:r>
              <w:rPr>
                <w:rFonts w:hint="eastAsia" w:ascii="宋体" w:hAnsi="宋体" w:eastAsia="宋体" w:cs="宋体"/>
                <w:sz w:val="21"/>
                <w:szCs w:val="21"/>
                <w:lang w:eastAsia="zh-CN"/>
              </w:rPr>
              <w:t>签订安全协议</w:t>
            </w:r>
            <w:r>
              <w:rPr>
                <w:rFonts w:hint="eastAsia" w:ascii="宋体" w:hAnsi="宋体" w:eastAsia="宋体" w:cs="宋体"/>
                <w:sz w:val="21"/>
                <w:szCs w:val="21"/>
              </w:rPr>
              <w:t>、</w:t>
            </w:r>
            <w:r>
              <w:rPr>
                <w:rFonts w:hint="eastAsia" w:ascii="宋体" w:hAnsi="宋体" w:eastAsia="宋体" w:cs="宋体"/>
                <w:sz w:val="21"/>
                <w:szCs w:val="21"/>
                <w:lang w:eastAsia="zh-CN"/>
              </w:rPr>
              <w:t>相关方</w:t>
            </w:r>
            <w:r>
              <w:rPr>
                <w:rFonts w:hint="eastAsia" w:ascii="宋体" w:hAnsi="宋体" w:eastAsia="宋体" w:cs="宋体"/>
                <w:sz w:val="21"/>
                <w:szCs w:val="21"/>
              </w:rPr>
              <w:t>告知、合同等方式向相关方提供。</w:t>
            </w:r>
          </w:p>
          <w:p>
            <w:pPr>
              <w:rPr>
                <w:rFonts w:hint="eastAsia" w:ascii="宋体" w:hAnsi="宋体" w:eastAsia="宋体" w:cs="宋体"/>
                <w:sz w:val="21"/>
                <w:szCs w:val="21"/>
              </w:rPr>
            </w:pPr>
            <w:r>
              <w:rPr>
                <w:rFonts w:hint="eastAsia" w:ascii="宋体" w:hAnsi="宋体" w:eastAsia="宋体" w:cs="宋体"/>
                <w:sz w:val="21"/>
                <w:szCs w:val="21"/>
              </w:rPr>
              <w:t>经</w:t>
            </w:r>
            <w:r>
              <w:rPr>
                <w:rFonts w:hint="eastAsia" w:ascii="宋体" w:hAnsi="宋体" w:cs="宋体"/>
                <w:sz w:val="21"/>
                <w:szCs w:val="21"/>
                <w:lang w:val="en-US" w:eastAsia="zh-CN"/>
              </w:rPr>
              <w:t>2022</w:t>
            </w:r>
            <w:r>
              <w:rPr>
                <w:rFonts w:hint="eastAsia" w:ascii="宋体" w:hAnsi="宋体" w:eastAsia="宋体" w:cs="宋体"/>
                <w:sz w:val="21"/>
                <w:szCs w:val="21"/>
              </w:rPr>
              <w:t>年</w:t>
            </w:r>
            <w:r>
              <w:rPr>
                <w:rFonts w:hint="eastAsia" w:ascii="宋体" w:hAnsi="宋体" w:cs="宋体"/>
                <w:sz w:val="21"/>
                <w:szCs w:val="21"/>
                <w:lang w:val="en-US" w:eastAsia="zh-CN"/>
              </w:rPr>
              <w:t>7</w:t>
            </w:r>
            <w:r>
              <w:rPr>
                <w:rFonts w:hint="eastAsia" w:ascii="宋体" w:hAnsi="宋体" w:eastAsia="宋体" w:cs="宋体"/>
                <w:sz w:val="21"/>
                <w:szCs w:val="21"/>
              </w:rPr>
              <w:t>月</w:t>
            </w:r>
            <w:r>
              <w:rPr>
                <w:rFonts w:hint="eastAsia" w:ascii="宋体" w:hAnsi="宋体" w:cs="宋体"/>
                <w:sz w:val="21"/>
                <w:szCs w:val="21"/>
                <w:lang w:val="en-US" w:eastAsia="zh-CN"/>
              </w:rPr>
              <w:t>30</w:t>
            </w:r>
            <w:r>
              <w:rPr>
                <w:rFonts w:hint="eastAsia" w:ascii="宋体" w:hAnsi="宋体" w:eastAsia="宋体" w:cs="宋体"/>
                <w:sz w:val="21"/>
                <w:szCs w:val="21"/>
              </w:rPr>
              <w:t>日</w:t>
            </w:r>
            <w:r>
              <w:rPr>
                <w:rFonts w:hint="eastAsia" w:ascii="宋体" w:hAnsi="宋体" w:eastAsia="宋体" w:cs="宋体"/>
                <w:sz w:val="21"/>
                <w:szCs w:val="21"/>
                <w:lang w:eastAsia="zh-CN"/>
              </w:rPr>
              <w:t>召开</w:t>
            </w:r>
            <w:r>
              <w:rPr>
                <w:rFonts w:hint="eastAsia" w:ascii="宋体" w:hAnsi="宋体" w:eastAsia="宋体" w:cs="宋体"/>
                <w:sz w:val="21"/>
                <w:szCs w:val="21"/>
              </w:rPr>
              <w:t>的管理评审</w:t>
            </w:r>
            <w:r>
              <w:rPr>
                <w:rFonts w:hint="eastAsia" w:ascii="宋体" w:hAnsi="宋体" w:eastAsia="宋体" w:cs="宋体"/>
                <w:sz w:val="21"/>
                <w:szCs w:val="21"/>
                <w:lang w:eastAsia="zh-CN"/>
              </w:rPr>
              <w:t>会议</w:t>
            </w:r>
            <w:r>
              <w:rPr>
                <w:rFonts w:hint="eastAsia" w:ascii="宋体" w:hAnsi="宋体" w:cs="宋体"/>
                <w:sz w:val="21"/>
                <w:szCs w:val="21"/>
                <w:lang w:eastAsia="zh-CN"/>
              </w:rPr>
              <w:t>评价</w:t>
            </w:r>
            <w:r>
              <w:rPr>
                <w:rFonts w:hint="eastAsia" w:ascii="宋体" w:hAnsi="宋体" w:eastAsia="宋体" w:cs="宋体"/>
                <w:sz w:val="21"/>
                <w:szCs w:val="21"/>
              </w:rPr>
              <w:t>，管理方针适应其宗旨和环境并支持其长远战略方向；为制定管理目标提供框架；包括满足适用要求的承诺和持续改进质量管理体系的承诺。方针基本能够满足标准的要求。</w:t>
            </w:r>
          </w:p>
          <w:p>
            <w:pPr>
              <w:rPr>
                <w:rFonts w:hint="eastAsia" w:ascii="宋体" w:hAnsi="宋体" w:eastAsia="宋体" w:cs="宋体"/>
                <w:sz w:val="21"/>
                <w:szCs w:val="21"/>
              </w:rPr>
            </w:pPr>
            <w:r>
              <w:rPr>
                <w:rFonts w:hint="eastAsia" w:ascii="宋体" w:hAnsi="宋体" w:eastAsia="宋体" w:cs="宋体"/>
                <w:sz w:val="21"/>
                <w:szCs w:val="21"/>
              </w:rPr>
              <w:t>基本符合要求。</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组织的岗位、职责和权限</w:t>
            </w:r>
          </w:p>
        </w:tc>
        <w:tc>
          <w:tcPr>
            <w:tcW w:w="1039" w:type="dxa"/>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QE</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5.3</w:t>
            </w:r>
          </w:p>
          <w:p>
            <w:pPr>
              <w:adjustRightInd w:val="0"/>
              <w:snapToGrid w:val="0"/>
              <w:spacing w:line="300" w:lineRule="exact"/>
              <w:rPr>
                <w:rFonts w:hint="eastAsia" w:ascii="宋体" w:hAnsi="宋体" w:eastAsia="宋体" w:cs="宋体"/>
                <w:sz w:val="21"/>
                <w:szCs w:val="21"/>
              </w:rPr>
            </w:pPr>
          </w:p>
        </w:tc>
        <w:tc>
          <w:tcPr>
            <w:tcW w:w="1134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rPr>
              <w:t>为了有效的实施质量、环境、职业健康安全管理，本公司确定了公司结构：</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——公司总经理、体系负责人为公司的管理层。</w:t>
            </w:r>
          </w:p>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rPr>
              <w:t>——公司设置管理部门如下：</w:t>
            </w:r>
            <w:r>
              <w:rPr>
                <w:rFonts w:hint="eastAsia" w:ascii="宋体" w:hAnsi="宋体" w:cs="宋体"/>
                <w:sz w:val="21"/>
                <w:szCs w:val="21"/>
                <w:lang w:eastAsia="zh-CN"/>
              </w:rPr>
              <w:t>综合部</w:t>
            </w:r>
            <w:r>
              <w:rPr>
                <w:rFonts w:hint="eastAsia" w:ascii="宋体" w:hAnsi="宋体" w:eastAsia="宋体" w:cs="宋体"/>
                <w:sz w:val="21"/>
                <w:szCs w:val="21"/>
              </w:rPr>
              <w:t>、</w:t>
            </w:r>
            <w:r>
              <w:rPr>
                <w:rFonts w:hint="eastAsia" w:ascii="宋体" w:hAnsi="宋体" w:cs="宋体"/>
                <w:sz w:val="21"/>
                <w:szCs w:val="21"/>
                <w:lang w:eastAsia="zh-CN"/>
              </w:rPr>
              <w:t>生产部。</w:t>
            </w:r>
          </w:p>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eastAsia="zh-CN"/>
              </w:rPr>
              <w:t>《管理手册》</w:t>
            </w:r>
            <w:r>
              <w:rPr>
                <w:rFonts w:hint="eastAsia" w:ascii="宋体" w:hAnsi="宋体" w:eastAsia="宋体" w:cs="宋体"/>
                <w:sz w:val="21"/>
                <w:szCs w:val="21"/>
              </w:rPr>
              <w:t>规定了各级各岗位人员职责、权限和相互关系，并在公司内对各级员工进行了必要的传达；</w:t>
            </w:r>
            <w:r>
              <w:rPr>
                <w:rFonts w:hint="eastAsia" w:ascii="宋体" w:hAnsi="宋体" w:eastAsia="宋体" w:cs="宋体"/>
                <w:sz w:val="21"/>
                <w:szCs w:val="21"/>
                <w:lang w:eastAsia="zh-CN"/>
              </w:rPr>
              <w:t>制定了《岗位任职要求》，</w:t>
            </w:r>
            <w:r>
              <w:rPr>
                <w:rFonts w:hint="eastAsia" w:ascii="宋体" w:hAnsi="宋体" w:eastAsia="宋体" w:cs="宋体"/>
                <w:sz w:val="21"/>
                <w:szCs w:val="21"/>
              </w:rPr>
              <w:t>规定了各岗位职责及权限，对本公司各主要岗位职责权限进行了确定</w:t>
            </w:r>
            <w:r>
              <w:rPr>
                <w:rFonts w:hint="eastAsia" w:ascii="宋体" w:hAnsi="宋体" w:eastAsia="宋体" w:cs="宋体"/>
                <w:sz w:val="21"/>
                <w:szCs w:val="21"/>
                <w:lang w:eastAsia="zh-CN"/>
              </w:rPr>
              <w:t>。</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eastAsia="zh-CN"/>
              </w:rPr>
              <w:t>具体</w:t>
            </w:r>
            <w:r>
              <w:rPr>
                <w:rFonts w:hint="eastAsia" w:ascii="宋体" w:hAnsi="宋体" w:eastAsia="宋体" w:cs="宋体"/>
                <w:sz w:val="21"/>
                <w:szCs w:val="21"/>
              </w:rPr>
              <w:t>岗位职责及权限见</w:t>
            </w:r>
            <w:r>
              <w:rPr>
                <w:rFonts w:hint="eastAsia" w:ascii="宋体" w:hAnsi="宋体" w:eastAsia="宋体" w:cs="宋体"/>
                <w:sz w:val="21"/>
                <w:szCs w:val="21"/>
                <w:lang w:eastAsia="zh-CN"/>
              </w:rPr>
              <w:t>各部门审核记录</w:t>
            </w:r>
            <w:r>
              <w:rPr>
                <w:rFonts w:hint="eastAsia" w:ascii="宋体" w:hAnsi="宋体" w:eastAsia="宋体" w:cs="宋体"/>
                <w:sz w:val="21"/>
                <w:szCs w:val="21"/>
              </w:rPr>
              <w:t>。</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bl>
    <w:p>
      <w:pPr>
        <w:pStyle w:val="2"/>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rPr>
          <w:rFonts w:hint="eastAsia" w:ascii="Times New Roman" w:hAnsi="Times New Roman" w:eastAsia="宋体" w:cs="Times New Roman"/>
          <w:bCs w:val="0"/>
          <w:spacing w:val="0"/>
          <w:kern w:val="2"/>
          <w:sz w:val="24"/>
          <w:szCs w:val="24"/>
          <w:lang w:val="en-US" w:eastAsia="zh-CN" w:bidi="ar-SA"/>
        </w:rPr>
      </w:pPr>
    </w:p>
    <w:tbl>
      <w:tblPr>
        <w:tblStyle w:val="15"/>
        <w:tblW w:w="15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039"/>
        <w:gridCol w:w="1134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45" w:type="dxa"/>
            <w:vMerge w:val="restart"/>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过程与活动、</w:t>
            </w:r>
          </w:p>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039" w:type="dxa"/>
            <w:vMerge w:val="restart"/>
            <w:vAlign w:val="center"/>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涉及</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条款</w:t>
            </w:r>
          </w:p>
        </w:tc>
        <w:tc>
          <w:tcPr>
            <w:tcW w:w="11348" w:type="dxa"/>
            <w:vAlign w:val="center"/>
          </w:tcPr>
          <w:p>
            <w:pPr>
              <w:adjustRightInd w:val="0"/>
              <w:snapToGrid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管理</w:t>
            </w:r>
            <w:r>
              <w:rPr>
                <w:rFonts w:hint="eastAsia" w:ascii="宋体" w:hAnsi="宋体" w:eastAsia="宋体" w:cs="宋体"/>
                <w:sz w:val="21"/>
                <w:szCs w:val="21"/>
              </w:rPr>
              <w:t>层         主管领导：</w:t>
            </w:r>
            <w:r>
              <w:rPr>
                <w:rFonts w:hint="eastAsia" w:ascii="宋体" w:hAnsi="宋体" w:cs="宋体"/>
                <w:sz w:val="21"/>
                <w:szCs w:val="21"/>
                <w:lang w:eastAsia="zh-CN"/>
              </w:rPr>
              <w:t>王鹏</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cs="宋体"/>
                <w:sz w:val="21"/>
                <w:szCs w:val="21"/>
                <w:lang w:eastAsia="zh-CN"/>
              </w:rPr>
              <w:t>黄珊珊</w:t>
            </w:r>
          </w:p>
        </w:tc>
        <w:tc>
          <w:tcPr>
            <w:tcW w:w="1068" w:type="dxa"/>
            <w:vMerge w:val="restart"/>
            <w:vAlign w:val="center"/>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45" w:type="dxa"/>
            <w:vMerge w:val="continue"/>
            <w:vAlign w:val="center"/>
          </w:tcPr>
          <w:p>
            <w:pPr>
              <w:adjustRightInd w:val="0"/>
              <w:snapToGrid w:val="0"/>
              <w:spacing w:line="300" w:lineRule="exact"/>
              <w:rPr>
                <w:rFonts w:hint="eastAsia" w:ascii="宋体" w:hAnsi="宋体" w:eastAsia="宋体" w:cs="宋体"/>
                <w:sz w:val="21"/>
                <w:szCs w:val="21"/>
              </w:rPr>
            </w:pPr>
          </w:p>
        </w:tc>
        <w:tc>
          <w:tcPr>
            <w:tcW w:w="1039" w:type="dxa"/>
            <w:vMerge w:val="continue"/>
            <w:vAlign w:val="center"/>
          </w:tcPr>
          <w:p>
            <w:pPr>
              <w:adjustRightInd w:val="0"/>
              <w:snapToGrid w:val="0"/>
              <w:spacing w:line="300" w:lineRule="exact"/>
              <w:rPr>
                <w:rFonts w:hint="eastAsia" w:ascii="宋体" w:hAnsi="宋体" w:eastAsia="宋体" w:cs="宋体"/>
                <w:sz w:val="21"/>
                <w:szCs w:val="21"/>
              </w:rPr>
            </w:pPr>
          </w:p>
        </w:tc>
        <w:tc>
          <w:tcPr>
            <w:tcW w:w="11348" w:type="dxa"/>
            <w:vAlign w:val="center"/>
          </w:tcPr>
          <w:p>
            <w:pPr>
              <w:adjustRightInd w:val="0"/>
              <w:snapToGrid w:val="0"/>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杨园</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、朱晓丽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审核时间：2022</w:t>
            </w:r>
            <w:r>
              <w:rPr>
                <w:rFonts w:hint="eastAsia" w:ascii="宋体" w:hAnsi="宋体" w:cs="宋体"/>
                <w:sz w:val="21"/>
                <w:szCs w:val="21"/>
                <w:lang w:eastAsia="zh-CN"/>
              </w:rPr>
              <w:t>年</w:t>
            </w:r>
            <w:r>
              <w:rPr>
                <w:rFonts w:hint="eastAsia" w:ascii="宋体" w:hAnsi="宋体" w:cs="宋体"/>
                <w:sz w:val="21"/>
                <w:szCs w:val="21"/>
                <w:lang w:val="en-US" w:eastAsia="zh-CN"/>
              </w:rPr>
              <w:t>10月21日</w:t>
            </w:r>
          </w:p>
        </w:tc>
        <w:tc>
          <w:tcPr>
            <w:tcW w:w="1068" w:type="dxa"/>
            <w:vMerge w:val="continue"/>
          </w:tcPr>
          <w:p>
            <w:pPr>
              <w:adjustRightInd w:val="0"/>
              <w:snapToGrid w:val="0"/>
              <w:spacing w:line="3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45" w:type="dxa"/>
            <w:vMerge w:val="continue"/>
            <w:vAlign w:val="center"/>
          </w:tcPr>
          <w:p>
            <w:pPr>
              <w:adjustRightInd w:val="0"/>
              <w:snapToGrid w:val="0"/>
              <w:spacing w:line="300" w:lineRule="exact"/>
              <w:rPr>
                <w:rFonts w:hint="eastAsia" w:ascii="宋体" w:hAnsi="宋体" w:eastAsia="宋体" w:cs="宋体"/>
                <w:sz w:val="21"/>
                <w:szCs w:val="21"/>
              </w:rPr>
            </w:pPr>
          </w:p>
        </w:tc>
        <w:tc>
          <w:tcPr>
            <w:tcW w:w="1039" w:type="dxa"/>
            <w:vMerge w:val="continue"/>
            <w:vAlign w:val="center"/>
          </w:tcPr>
          <w:p>
            <w:pPr>
              <w:adjustRightInd w:val="0"/>
              <w:snapToGrid w:val="0"/>
              <w:spacing w:line="300" w:lineRule="exact"/>
              <w:rPr>
                <w:rFonts w:hint="eastAsia" w:ascii="宋体" w:hAnsi="宋体" w:eastAsia="宋体" w:cs="宋体"/>
                <w:sz w:val="21"/>
                <w:szCs w:val="21"/>
              </w:rPr>
            </w:pPr>
          </w:p>
        </w:tc>
        <w:tc>
          <w:tcPr>
            <w:tcW w:w="11348" w:type="dxa"/>
            <w:vAlign w:val="center"/>
          </w:tcPr>
          <w:p>
            <w:pPr>
              <w:spacing w:line="300" w:lineRule="exact"/>
              <w:jc w:val="left"/>
              <w:rPr>
                <w:rFonts w:hint="eastAsia" w:ascii="宋体" w:hAnsi="宋体" w:eastAsia="宋体" w:cs="宋体"/>
                <w:sz w:val="21"/>
                <w:szCs w:val="21"/>
                <w:lang w:val="en-US"/>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O</w:t>
            </w:r>
            <w:r>
              <w:rPr>
                <w:rFonts w:hint="eastAsia" w:ascii="宋体" w:hAnsi="宋体" w:eastAsia="宋体" w:cs="宋体"/>
                <w:sz w:val="21"/>
                <w:szCs w:val="21"/>
              </w:rPr>
              <w:t>4.1/4.2/4.3/4.4/</w:t>
            </w:r>
            <w:r>
              <w:rPr>
                <w:rFonts w:hint="default" w:ascii="宋体" w:hAnsi="宋体" w:eastAsia="宋体" w:cs="宋体"/>
                <w:sz w:val="21"/>
                <w:szCs w:val="21"/>
              </w:rPr>
              <w:t>5.1/5.2/5.3/6.1/6.2/7.1</w:t>
            </w:r>
            <w:r>
              <w:rPr>
                <w:rFonts w:hint="eastAsia" w:ascii="宋体" w:hAnsi="宋体" w:eastAsia="宋体" w:cs="宋体"/>
                <w:sz w:val="21"/>
                <w:szCs w:val="21"/>
                <w:lang w:val="en-US" w:eastAsia="zh-CN"/>
              </w:rPr>
              <w:t>/9.3</w:t>
            </w:r>
            <w:r>
              <w:rPr>
                <w:rFonts w:hint="default" w:ascii="宋体" w:hAnsi="宋体" w:eastAsia="宋体" w:cs="宋体"/>
                <w:sz w:val="21"/>
                <w:szCs w:val="21"/>
              </w:rPr>
              <w:t>/10.1/10.3</w:t>
            </w:r>
            <w:r>
              <w:rPr>
                <w:rFonts w:hint="eastAsia" w:ascii="宋体" w:hAnsi="宋体" w:eastAsia="宋体" w:cs="宋体"/>
                <w:sz w:val="21"/>
                <w:szCs w:val="21"/>
                <w:lang w:eastAsia="zh-CN"/>
              </w:rPr>
              <w:t>；</w:t>
            </w:r>
          </w:p>
        </w:tc>
        <w:tc>
          <w:tcPr>
            <w:tcW w:w="1068" w:type="dxa"/>
            <w:vMerge w:val="continue"/>
          </w:tcPr>
          <w:p>
            <w:pPr>
              <w:adjustRightInd w:val="0"/>
              <w:snapToGrid w:val="0"/>
              <w:spacing w:line="3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理解组织及其环境</w:t>
            </w:r>
          </w:p>
        </w:tc>
        <w:tc>
          <w:tcPr>
            <w:tcW w:w="1039" w:type="dxa"/>
          </w:tcPr>
          <w:p>
            <w:pPr>
              <w:adjustRightInd w:val="0"/>
              <w:snapToGrid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4.1</w:t>
            </w:r>
          </w:p>
        </w:tc>
        <w:tc>
          <w:tcPr>
            <w:tcW w:w="11348" w:type="dxa"/>
            <w:vAlign w:val="top"/>
          </w:tcPr>
          <w:p>
            <w:pPr>
              <w:adjustRightInd w:val="0"/>
              <w:snapToGrid w:val="0"/>
              <w:spacing w:line="300" w:lineRule="exact"/>
              <w:rPr>
                <w:rFonts w:hint="eastAsia" w:ascii="宋体" w:hAnsi="宋体" w:cs="宋体"/>
                <w:sz w:val="21"/>
                <w:szCs w:val="21"/>
                <w:lang w:eastAsia="zh-CN"/>
              </w:rPr>
            </w:pPr>
            <w:r>
              <w:rPr>
                <w:rFonts w:hint="eastAsia" w:ascii="宋体" w:hAnsi="宋体" w:cs="宋体"/>
                <w:sz w:val="21"/>
                <w:szCs w:val="21"/>
                <w:lang w:eastAsia="zh-CN"/>
              </w:rPr>
              <w:t>●企业基本情况：</w:t>
            </w:r>
          </w:p>
          <w:p>
            <w:pPr>
              <w:adjustRightInd w:val="0"/>
              <w:snapToGrid w:val="0"/>
              <w:spacing w:line="300" w:lineRule="exact"/>
              <w:rPr>
                <w:rFonts w:hint="eastAsia" w:ascii="宋体" w:hAnsi="宋体" w:eastAsia="宋体" w:cs="宋体"/>
                <w:sz w:val="21"/>
                <w:szCs w:val="21"/>
                <w:lang w:eastAsia="zh-CN"/>
              </w:rPr>
            </w:pPr>
            <w:r>
              <w:rPr>
                <w:rFonts w:hint="eastAsia" w:ascii="宋体" w:hAnsi="宋体" w:cs="宋体"/>
                <w:sz w:val="21"/>
                <w:szCs w:val="21"/>
                <w:lang w:eastAsia="zh-CN"/>
              </w:rPr>
              <w:t>公司名称：沧县青山金属制品有限公司</w:t>
            </w:r>
            <w:r>
              <w:rPr>
                <w:rFonts w:hint="eastAsia" w:ascii="宋体" w:hAnsi="宋体" w:eastAsia="宋体" w:cs="宋体"/>
                <w:sz w:val="21"/>
                <w:szCs w:val="21"/>
                <w:lang w:eastAsia="zh-CN"/>
              </w:rPr>
              <w:t>，</w:t>
            </w:r>
            <w:r>
              <w:rPr>
                <w:rFonts w:hint="eastAsia" w:ascii="宋体" w:hAnsi="宋体" w:cs="宋体"/>
                <w:sz w:val="21"/>
                <w:szCs w:val="21"/>
                <w:lang w:eastAsia="zh-CN"/>
              </w:rPr>
              <w:t>注册地址</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经营地址：</w:t>
            </w:r>
            <w:r>
              <w:rPr>
                <w:rFonts w:hint="eastAsia" w:ascii="宋体" w:hAnsi="宋体" w:cs="宋体"/>
                <w:sz w:val="21"/>
                <w:szCs w:val="21"/>
                <w:lang w:val="en-US" w:eastAsia="zh-CN"/>
              </w:rPr>
              <w:t>沧县兴济镇北桃杏村</w:t>
            </w:r>
            <w:r>
              <w:rPr>
                <w:rFonts w:hint="eastAsia" w:ascii="宋体" w:hAnsi="宋体" w:eastAsia="宋体" w:cs="宋体"/>
                <w:sz w:val="21"/>
                <w:szCs w:val="21"/>
                <w:lang w:eastAsia="zh-CN"/>
              </w:rPr>
              <w:t>。主营业务：</w:t>
            </w:r>
            <w:r>
              <w:rPr>
                <w:rFonts w:hint="eastAsia" w:ascii="宋体" w:hAnsi="宋体" w:cs="宋体"/>
                <w:sz w:val="21"/>
                <w:szCs w:val="21"/>
                <w:lang w:eastAsia="zh-CN"/>
              </w:rPr>
              <w:t>铝合金铸件的加工</w:t>
            </w:r>
            <w:r>
              <w:rPr>
                <w:rFonts w:hint="eastAsia" w:ascii="宋体" w:hAnsi="宋体" w:eastAsia="宋体" w:cs="宋体"/>
                <w:sz w:val="21"/>
                <w:szCs w:val="21"/>
                <w:lang w:eastAsia="zh-CN"/>
              </w:rPr>
              <w:t>。</w:t>
            </w:r>
          </w:p>
          <w:p>
            <w:pPr>
              <w:adjustRightInd w:val="0"/>
              <w:snapToGrid w:val="0"/>
              <w:spacing w:line="300" w:lineRule="exact"/>
              <w:rPr>
                <w:rFonts w:hint="eastAsia" w:ascii="宋体" w:hAnsi="宋体" w:cs="宋体"/>
                <w:sz w:val="21"/>
                <w:szCs w:val="21"/>
                <w:lang w:eastAsia="zh-CN"/>
              </w:rPr>
            </w:pPr>
            <w:r>
              <w:rPr>
                <w:rFonts w:hint="eastAsia" w:ascii="宋体" w:hAnsi="宋体" w:cs="宋体"/>
                <w:sz w:val="21"/>
                <w:szCs w:val="21"/>
                <w:lang w:eastAsia="zh-CN"/>
              </w:rPr>
              <w:t>王总介绍了企业概况，企业取得环评等相关手续，取得了“安全生产标准化三级企业”证书。工厂自动化程度较高，人员经验丰富，有稳定的市场，主要为新能源汽车厂家供货。</w:t>
            </w:r>
          </w:p>
          <w:p>
            <w:pPr>
              <w:adjustRightInd w:val="0"/>
              <w:snapToGrid w:val="0"/>
              <w:spacing w:line="300" w:lineRule="exact"/>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eastAsia="宋体" w:cs="宋体"/>
                <w:sz w:val="21"/>
                <w:szCs w:val="21"/>
              </w:rPr>
              <w:t>内</w:t>
            </w:r>
            <w:r>
              <w:rPr>
                <w:rFonts w:hint="eastAsia" w:ascii="宋体" w:hAnsi="宋体" w:eastAsia="宋体" w:cs="宋体"/>
                <w:sz w:val="21"/>
                <w:szCs w:val="21"/>
                <w:lang w:eastAsia="zh-CN"/>
              </w:rPr>
              <w:t>部因素和外部因素：</w:t>
            </w:r>
          </w:p>
          <w:p>
            <w:pPr>
              <w:adjustRightInd w:val="0"/>
              <w:snapToGrid w:val="0"/>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王总</w:t>
            </w:r>
            <w:r>
              <w:rPr>
                <w:rFonts w:hint="eastAsia" w:ascii="宋体" w:hAnsi="宋体" w:eastAsia="宋体" w:cs="宋体"/>
                <w:sz w:val="21"/>
                <w:szCs w:val="21"/>
                <w:lang w:val="en-US" w:eastAsia="zh-CN"/>
              </w:rPr>
              <w:t>介绍，定期组织公司管理层召开内外部评审会议。组织分析内外部环境并制定发展战略。</w:t>
            </w:r>
          </w:p>
          <w:p>
            <w:pPr>
              <w:adjustRightInd w:val="0"/>
              <w:snapToGrid w:val="0"/>
              <w:spacing w:line="3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查企业</w:t>
            </w:r>
            <w:r>
              <w:rPr>
                <w:rFonts w:hint="eastAsia" w:ascii="宋体" w:hAnsi="宋体" w:cs="宋体"/>
                <w:sz w:val="21"/>
                <w:szCs w:val="21"/>
                <w:lang w:val="en-US" w:eastAsia="zh-CN"/>
              </w:rPr>
              <w:t>管理手册相关条款</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综合部</w:t>
            </w:r>
            <w:r>
              <w:rPr>
                <w:rFonts w:hint="eastAsia" w:ascii="宋体" w:hAnsi="宋体" w:eastAsia="宋体" w:cs="宋体"/>
                <w:sz w:val="21"/>
                <w:szCs w:val="21"/>
                <w:lang w:val="en-US" w:eastAsia="zh-CN"/>
              </w:rPr>
              <w:t>为归口部门，</w:t>
            </w:r>
            <w:r>
              <w:rPr>
                <w:rFonts w:hint="eastAsia" w:ascii="宋体" w:hAnsi="宋体" w:eastAsia="宋体" w:cs="宋体"/>
                <w:sz w:val="21"/>
                <w:szCs w:val="21"/>
                <w:lang w:eastAsia="zh-CN"/>
              </w:rPr>
              <w:t>负责内部环境中组织总体表现、组织知识、组织文化、人力因素、</w:t>
            </w:r>
            <w:r>
              <w:rPr>
                <w:rFonts w:hint="eastAsia" w:ascii="宋体" w:hAnsi="宋体" w:eastAsia="宋体" w:cs="宋体"/>
                <w:sz w:val="21"/>
                <w:szCs w:val="21"/>
              </w:rPr>
              <w:t>组织治理相关因素的分析、评价。</w:t>
            </w:r>
            <w:r>
              <w:rPr>
                <w:rFonts w:hint="eastAsia" w:ascii="宋体" w:hAnsi="宋体" w:cs="宋体"/>
                <w:sz w:val="21"/>
                <w:szCs w:val="21"/>
                <w:lang w:eastAsia="zh-CN"/>
              </w:rPr>
              <w:t>各部门</w:t>
            </w:r>
            <w:r>
              <w:rPr>
                <w:rFonts w:hint="eastAsia" w:ascii="宋体" w:hAnsi="宋体" w:eastAsia="宋体" w:cs="宋体"/>
                <w:sz w:val="21"/>
                <w:szCs w:val="21"/>
              </w:rPr>
              <w:t>负责本部门的内外部环境分析、评价</w:t>
            </w:r>
            <w:r>
              <w:rPr>
                <w:rFonts w:hint="eastAsia" w:ascii="宋体" w:hAnsi="宋体" w:cs="宋体"/>
                <w:sz w:val="21"/>
                <w:szCs w:val="21"/>
                <w:lang w:eastAsia="zh-CN"/>
              </w:rPr>
              <w:t>，综合部汇总。</w:t>
            </w:r>
          </w:p>
          <w:p>
            <w:pPr>
              <w:adjustRightInd w:val="0"/>
              <w:snapToGrid w:val="0"/>
              <w:spacing w:line="300" w:lineRule="exact"/>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查</w:t>
            </w:r>
            <w:r>
              <w:rPr>
                <w:rFonts w:hint="eastAsia" w:ascii="宋体" w:hAnsi="宋体" w:cs="宋体"/>
                <w:sz w:val="21"/>
                <w:szCs w:val="21"/>
                <w:lang w:val="en-US" w:eastAsia="zh-CN"/>
              </w:rPr>
              <w:t>企业编制了《内外部环境因素、相关方识别和期望的识别与分析》，</w:t>
            </w:r>
            <w:r>
              <w:rPr>
                <w:rFonts w:hint="eastAsia" w:ascii="宋体" w:hAnsi="宋体" w:eastAsia="宋体" w:cs="宋体"/>
                <w:sz w:val="21"/>
                <w:szCs w:val="21"/>
                <w:lang w:val="en-US" w:eastAsia="zh-CN"/>
              </w:rPr>
              <w:t>评审内容包含内外部因素，具体现状描述，信息来源，优劣势分析。</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w:t>
            </w:r>
            <w:r>
              <w:rPr>
                <w:rFonts w:hint="eastAsia" w:ascii="宋体" w:hAnsi="宋体" w:cs="宋体"/>
                <w:bCs w:val="0"/>
                <w:spacing w:val="0"/>
                <w:kern w:val="2"/>
                <w:sz w:val="21"/>
                <w:szCs w:val="21"/>
                <w:lang w:val="en-US" w:eastAsia="zh-CN" w:bidi="ar-SA"/>
              </w:rPr>
              <w:t>查</w:t>
            </w:r>
            <w:r>
              <w:rPr>
                <w:rFonts w:hint="eastAsia" w:ascii="宋体" w:hAnsi="宋体" w:eastAsia="宋体" w:cs="宋体"/>
                <w:bCs w:val="0"/>
                <w:spacing w:val="0"/>
                <w:kern w:val="2"/>
                <w:sz w:val="21"/>
                <w:szCs w:val="21"/>
                <w:lang w:val="en-US" w:eastAsia="zh-CN" w:bidi="ar-SA"/>
              </w:rPr>
              <w:t>外部因素：</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1、法律法规：市场、最终消费者对产品符合性要求不断提升等；</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2、市场竞争情况：目前同类行业比较多，市场竞争较大；</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3、经济形式：市场竞争较大，利润空间较小；</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4、社会责任：公众对社会责任期望不断提升等；</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5、产业发展：客户需求及新技术发展变化等；</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6、疫情影响：疫情如果扩散会影响企业停工。</w:t>
            </w:r>
            <w:r>
              <w:rPr>
                <w:rFonts w:hint="eastAsia" w:ascii="宋体" w:hAnsi="宋体" w:cs="宋体"/>
                <w:bCs w:val="0"/>
                <w:spacing w:val="0"/>
                <w:kern w:val="2"/>
                <w:sz w:val="21"/>
                <w:szCs w:val="21"/>
                <w:lang w:val="en-US" w:eastAsia="zh-CN" w:bidi="ar-SA"/>
              </w:rPr>
              <w:t>等方面</w:t>
            </w:r>
          </w:p>
          <w:p>
            <w:pPr>
              <w:pStyle w:val="2"/>
              <w:ind w:firstLine="490"/>
              <w:rPr>
                <w:rFonts w:hint="eastAsia" w:ascii="宋体" w:hAnsi="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识别的内部环境主要有：</w:t>
            </w:r>
            <w:r>
              <w:rPr>
                <w:rFonts w:hint="eastAsia" w:ascii="宋体" w:hAnsi="宋体" w:cs="宋体"/>
                <w:bCs w:val="0"/>
                <w:spacing w:val="0"/>
                <w:kern w:val="2"/>
                <w:sz w:val="21"/>
                <w:szCs w:val="21"/>
                <w:lang w:val="en-US" w:eastAsia="zh-CN" w:bidi="ar-SA"/>
              </w:rPr>
              <w:t>企业文化、公司价值观、知识积累、绩效、财务因素、资源因素、人力因素等方面；</w:t>
            </w:r>
          </w:p>
          <w:p>
            <w:pPr>
              <w:spacing w:line="260" w:lineRule="exact"/>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编制了《内外部环境分析报告》，</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优势如：企业运作能力强，企业无负债，银行信誉好，具有较强的融资能力；员工素质较高，企业</w:t>
            </w:r>
            <w:r>
              <w:rPr>
                <w:rFonts w:hint="eastAsia" w:ascii="宋体" w:hAnsi="宋体" w:cs="宋体"/>
                <w:bCs w:val="0"/>
                <w:spacing w:val="0"/>
                <w:kern w:val="2"/>
                <w:sz w:val="21"/>
                <w:szCs w:val="21"/>
                <w:lang w:val="en-US" w:eastAsia="zh-CN" w:bidi="ar-SA"/>
              </w:rPr>
              <w:t>自动化较高，各种手续相对齐全</w:t>
            </w:r>
            <w:r>
              <w:rPr>
                <w:rFonts w:hint="eastAsia" w:ascii="宋体" w:hAnsi="宋体" w:eastAsia="宋体" w:cs="宋体"/>
                <w:bCs w:val="0"/>
                <w:spacing w:val="0"/>
                <w:kern w:val="2"/>
                <w:sz w:val="21"/>
                <w:szCs w:val="21"/>
                <w:lang w:val="en-US" w:eastAsia="zh-CN" w:bidi="ar-SA"/>
              </w:rPr>
              <w:t>等</w:t>
            </w:r>
          </w:p>
          <w:p>
            <w:pPr>
              <w:pStyle w:val="2"/>
              <w:ind w:firstLine="49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劣势如：缺乏强有效的营销经验等，已根据企业优劣势制定了发展策略。</w:t>
            </w:r>
          </w:p>
          <w:p>
            <w:pPr>
              <w:pStyle w:val="2"/>
              <w:ind w:firstLine="490"/>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总经理介绍，</w:t>
            </w:r>
            <w:r>
              <w:rPr>
                <w:rFonts w:hint="eastAsia" w:ascii="宋体" w:hAnsi="宋体" w:cs="宋体"/>
                <w:bCs w:val="0"/>
                <w:spacing w:val="0"/>
                <w:kern w:val="2"/>
                <w:sz w:val="21"/>
                <w:szCs w:val="21"/>
                <w:lang w:val="en-US" w:eastAsia="zh-CN" w:bidi="ar-SA"/>
              </w:rPr>
              <w:t>近几年新能源汽车发展迅速，为企业带来了良好机遇。</w:t>
            </w:r>
          </w:p>
          <w:p>
            <w:pPr>
              <w:pStyle w:val="2"/>
              <w:ind w:firstLine="490" w:firstLineChars="0"/>
              <w:rPr>
                <w:rFonts w:hint="eastAsia" w:ascii="宋体" w:hAnsi="宋体" w:eastAsia="宋体" w:cs="宋体"/>
                <w:bCs/>
                <w:spacing w:val="10"/>
                <w:kern w:val="2"/>
                <w:sz w:val="21"/>
                <w:szCs w:val="21"/>
                <w:lang w:val="en-US" w:eastAsia="zh-CN" w:bidi="ar-SA"/>
              </w:rPr>
            </w:pPr>
            <w:r>
              <w:rPr>
                <w:rFonts w:hint="eastAsia" w:ascii="宋体" w:hAnsi="宋体" w:eastAsia="宋体" w:cs="宋体"/>
                <w:bCs w:val="0"/>
                <w:spacing w:val="0"/>
                <w:kern w:val="2"/>
                <w:sz w:val="21"/>
                <w:szCs w:val="21"/>
                <w:lang w:val="en-US" w:eastAsia="zh-CN" w:bidi="ar-SA"/>
              </w:rPr>
              <w:t>公司每年定期对这些内外部因素进行监视和评审，方式主要有：网</w:t>
            </w:r>
            <w:r>
              <w:rPr>
                <w:rFonts w:hint="eastAsia" w:ascii="宋体" w:hAnsi="宋体" w:eastAsia="宋体" w:cs="宋体"/>
                <w:sz w:val="21"/>
                <w:szCs w:val="21"/>
              </w:rPr>
              <w:t>站获取、顾客沟通（总结、会议、培训等形式）及内部沟通总结等方式。</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理解相关方的需求和期望</w:t>
            </w:r>
          </w:p>
        </w:tc>
        <w:tc>
          <w:tcPr>
            <w:tcW w:w="1039" w:type="dxa"/>
          </w:tcPr>
          <w:p>
            <w:pPr>
              <w:adjustRightInd w:val="0"/>
              <w:snapToGrid w:val="0"/>
              <w:spacing w:line="300" w:lineRule="exact"/>
              <w:rPr>
                <w:rFonts w:hint="eastAsia" w:ascii="宋体" w:hAnsi="宋体" w:eastAsia="宋体" w:cs="宋体"/>
                <w:sz w:val="21"/>
                <w:szCs w:val="21"/>
              </w:rPr>
            </w:pPr>
            <w:r>
              <w:rPr>
                <w:rFonts w:hint="eastAsia" w:ascii="宋体" w:hAnsi="宋体" w:cs="宋体"/>
                <w:sz w:val="21"/>
                <w:szCs w:val="21"/>
                <w:lang w:val="en-US" w:eastAsia="zh-CN"/>
              </w:rPr>
              <w:t xml:space="preserve">O </w:t>
            </w:r>
            <w:r>
              <w:rPr>
                <w:rFonts w:hint="eastAsia" w:ascii="宋体" w:hAnsi="宋体" w:eastAsia="宋体" w:cs="宋体"/>
                <w:sz w:val="21"/>
                <w:szCs w:val="21"/>
              </w:rPr>
              <w:t xml:space="preserve">4.2 </w:t>
            </w:r>
          </w:p>
          <w:p>
            <w:pPr>
              <w:adjustRightInd w:val="0"/>
              <w:snapToGrid w:val="0"/>
              <w:spacing w:line="300" w:lineRule="exact"/>
              <w:rPr>
                <w:rFonts w:hint="eastAsia" w:ascii="宋体" w:hAnsi="宋体" w:eastAsia="宋体" w:cs="宋体"/>
                <w:sz w:val="21"/>
                <w:szCs w:val="21"/>
              </w:rPr>
            </w:pPr>
          </w:p>
        </w:tc>
        <w:tc>
          <w:tcPr>
            <w:tcW w:w="11348" w:type="dxa"/>
            <w:vAlign w:val="top"/>
          </w:tcPr>
          <w:p>
            <w:pPr>
              <w:pStyle w:val="2"/>
              <w:ind w:firstLine="490"/>
              <w:rPr>
                <w:rFonts w:hint="eastAsia" w:ascii="宋体" w:hAnsi="宋体" w:cs="宋体"/>
                <w:bCs w:val="0"/>
                <w:spacing w:val="0"/>
                <w:kern w:val="2"/>
                <w:sz w:val="21"/>
                <w:szCs w:val="21"/>
                <w:lang w:val="en-US" w:eastAsia="zh-CN" w:bidi="ar-SA"/>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查见</w:t>
            </w:r>
            <w:r>
              <w:rPr>
                <w:rFonts w:hint="eastAsia" w:ascii="宋体" w:hAnsi="宋体" w:cs="宋体"/>
                <w:sz w:val="21"/>
                <w:szCs w:val="21"/>
                <w:lang w:val="en-US" w:eastAsia="zh-CN"/>
              </w:rPr>
              <w:t>编</w:t>
            </w:r>
            <w:r>
              <w:rPr>
                <w:rFonts w:hint="eastAsia" w:ascii="宋体" w:hAnsi="宋体" w:cs="宋体"/>
                <w:bCs w:val="0"/>
                <w:spacing w:val="0"/>
                <w:kern w:val="2"/>
                <w:sz w:val="21"/>
                <w:szCs w:val="21"/>
                <w:lang w:val="en-US" w:eastAsia="zh-CN" w:bidi="ar-SA"/>
              </w:rPr>
              <w:t>制了《相关方需求及期望清单》由综合部每年确定与质量、环境和职业健康安全管理体系有关的相关方，编制了《相关方的需求和期望》，评审了相关方的需求及监视指标，识别了相关方：顾客、股东或投资方、员工、银行、外部供方和合作伙伴、法律法规及监管机关等；第三方认证服务机构等；</w:t>
            </w:r>
          </w:p>
          <w:p>
            <w:pPr>
              <w:pStyle w:val="2"/>
              <w:ind w:firstLine="49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——抽第三方认证服务机构期望：满足认证条件、持续进行；制定了应对措施：内审，外审，管理评审，满足环境、安全体系要求，持续改进等；考核情况见内审报告，不符合报告。</w:t>
            </w:r>
          </w:p>
          <w:p>
            <w:pPr>
              <w:pStyle w:val="2"/>
              <w:ind w:firstLine="49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——抽员工需求和期</w:t>
            </w:r>
            <w:r>
              <w:rPr>
                <w:rFonts w:hint="eastAsia" w:ascii="宋体" w:hAnsi="宋体" w:eastAsia="宋体" w:cs="宋体"/>
                <w:bCs w:val="0"/>
                <w:spacing w:val="0"/>
                <w:kern w:val="2"/>
                <w:sz w:val="21"/>
                <w:szCs w:val="21"/>
                <w:lang w:val="en-US" w:eastAsia="zh-CN" w:bidi="ar-SA"/>
              </w:rPr>
              <w:t>望：1.改善作业环境2.提供培训机会；监视指</w:t>
            </w:r>
            <w:r>
              <w:rPr>
                <w:rFonts w:hint="eastAsia" w:ascii="宋体" w:hAnsi="宋体" w:cs="宋体"/>
                <w:bCs w:val="0"/>
                <w:spacing w:val="0"/>
                <w:kern w:val="2"/>
                <w:sz w:val="21"/>
                <w:szCs w:val="21"/>
                <w:lang w:val="en-US" w:eastAsia="zh-CN" w:bidi="ar-SA"/>
              </w:rPr>
              <w:t>标：1.站点安装风扇，缓解夏季高温影响。2.策划员工年度培训计划；监视指标：员工抱怨及时处理；</w:t>
            </w:r>
          </w:p>
          <w:p>
            <w:pPr>
              <w:pStyle w:val="2"/>
              <w:ind w:firstLine="49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另查其他相关方评审了其需求，建立了检测指标，符合要求。</w:t>
            </w:r>
          </w:p>
          <w:p>
            <w:pPr>
              <w:pStyle w:val="2"/>
              <w:ind w:firstLine="490" w:firstLineChars="0"/>
              <w:rPr>
                <w:rFonts w:hint="eastAsia" w:ascii="宋体" w:hAnsi="宋体" w:eastAsia="宋体" w:cs="宋体"/>
                <w:bCs/>
                <w:spacing w:val="10"/>
                <w:kern w:val="2"/>
                <w:sz w:val="21"/>
                <w:szCs w:val="21"/>
                <w:lang w:val="en-US" w:eastAsia="zh-CN" w:bidi="ar-SA"/>
              </w:rPr>
            </w:pPr>
            <w:r>
              <w:rPr>
                <w:rFonts w:hint="eastAsia" w:ascii="宋体" w:hAnsi="宋体" w:cs="宋体"/>
                <w:bCs w:val="0"/>
                <w:spacing w:val="0"/>
                <w:kern w:val="2"/>
                <w:sz w:val="21"/>
                <w:szCs w:val="21"/>
                <w:lang w:val="en-US" w:eastAsia="zh-CN" w:bidi="ar-SA"/>
              </w:rPr>
              <w:t>自体系运行以来，企业未发生处罚、相关方投诉事件。</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确定管理体系的范围</w:t>
            </w:r>
          </w:p>
        </w:tc>
        <w:tc>
          <w:tcPr>
            <w:tcW w:w="1039" w:type="dxa"/>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O</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4.3</w:t>
            </w:r>
          </w:p>
          <w:p>
            <w:pPr>
              <w:adjustRightInd w:val="0"/>
              <w:snapToGrid w:val="0"/>
              <w:spacing w:line="300" w:lineRule="exact"/>
              <w:rPr>
                <w:rFonts w:hint="eastAsia" w:ascii="宋体" w:hAnsi="宋体" w:eastAsia="宋体" w:cs="宋体"/>
                <w:sz w:val="21"/>
                <w:szCs w:val="21"/>
              </w:rPr>
            </w:pPr>
          </w:p>
        </w:tc>
        <w:tc>
          <w:tcPr>
            <w:tcW w:w="11348" w:type="dxa"/>
            <w:vAlign w:val="top"/>
          </w:tcPr>
          <w:p>
            <w:pPr>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查见公司《管理</w:t>
            </w:r>
            <w:r>
              <w:rPr>
                <w:rFonts w:hint="eastAsia" w:ascii="宋体" w:hAnsi="宋体" w:eastAsia="宋体" w:cs="宋体"/>
                <w:bCs w:val="0"/>
                <w:spacing w:val="0"/>
                <w:kern w:val="2"/>
                <w:sz w:val="21"/>
                <w:szCs w:val="21"/>
                <w:lang w:val="en-US" w:eastAsia="zh-CN" w:bidi="ar-SA"/>
              </w:rPr>
              <w:t>手册》QS-SC-2022，版</w:t>
            </w:r>
            <w:r>
              <w:rPr>
                <w:rFonts w:hint="eastAsia" w:ascii="宋体" w:hAnsi="宋体" w:eastAsia="宋体" w:cs="宋体"/>
                <w:sz w:val="21"/>
                <w:szCs w:val="21"/>
                <w:lang w:val="en-US" w:eastAsia="zh-CN"/>
              </w:rPr>
              <w:t>本A/0,发布实施时间：</w:t>
            </w:r>
            <w:r>
              <w:rPr>
                <w:rFonts w:hint="eastAsia" w:ascii="宋体" w:hAnsi="宋体" w:cs="宋体"/>
                <w:sz w:val="21"/>
                <w:szCs w:val="21"/>
                <w:lang w:val="en-US" w:eastAsia="zh-CN"/>
              </w:rPr>
              <w:t>2022</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 xml:space="preserve"> 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 xml:space="preserve">5 </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明确</w:t>
            </w:r>
            <w:r>
              <w:rPr>
                <w:rFonts w:hint="eastAsia" w:ascii="宋体" w:hAnsi="宋体" w:eastAsia="宋体" w:cs="宋体"/>
                <w:sz w:val="21"/>
                <w:szCs w:val="21"/>
                <w:lang w:val="en-US" w:eastAsia="zh-CN"/>
              </w:rPr>
              <w:t>了管理体系的范围及边界。</w:t>
            </w:r>
          </w:p>
          <w:p>
            <w:pPr>
              <w:spacing w:line="300" w:lineRule="exact"/>
              <w:rPr>
                <w:rFonts w:hint="eastAsia" w:ascii="宋体" w:hAnsi="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cs="宋体"/>
                <w:sz w:val="21"/>
                <w:szCs w:val="21"/>
                <w:lang w:val="en-US" w:eastAsia="zh-CN"/>
              </w:rPr>
              <w:t>公司认证的范围：</w:t>
            </w:r>
          </w:p>
          <w:p>
            <w:pPr>
              <w:spacing w:line="300" w:lineRule="exact"/>
              <w:rPr>
                <w:rFonts w:hint="eastAsia" w:ascii="宋体" w:hAnsi="宋体" w:cs="宋体"/>
                <w:sz w:val="21"/>
                <w:szCs w:val="21"/>
                <w:lang w:val="en-US" w:eastAsia="zh-CN"/>
              </w:rPr>
            </w:pPr>
            <w:r>
              <w:rPr>
                <w:rFonts w:hint="eastAsia" w:ascii="宋体" w:hAnsi="宋体" w:cs="宋体"/>
                <w:sz w:val="21"/>
                <w:szCs w:val="21"/>
                <w:lang w:val="en-US" w:eastAsia="zh-CN"/>
              </w:rPr>
              <w:t>Q：铝合金铸件的加工</w:t>
            </w:r>
          </w:p>
          <w:p>
            <w:pPr>
              <w:spacing w:line="300" w:lineRule="exact"/>
              <w:rPr>
                <w:rFonts w:hint="eastAsia" w:ascii="宋体" w:hAnsi="宋体" w:cs="宋体"/>
                <w:sz w:val="21"/>
                <w:szCs w:val="21"/>
                <w:lang w:val="en-US" w:eastAsia="zh-CN"/>
              </w:rPr>
            </w:pPr>
            <w:r>
              <w:rPr>
                <w:rFonts w:hint="eastAsia" w:ascii="宋体" w:hAnsi="宋体" w:cs="宋体"/>
                <w:sz w:val="21"/>
                <w:szCs w:val="21"/>
                <w:lang w:val="en-US" w:eastAsia="zh-CN"/>
              </w:rPr>
              <w:t>E：铝合金铸件的加工所涉及场所的相关环境管理活动</w:t>
            </w:r>
          </w:p>
          <w:p>
            <w:pPr>
              <w:spacing w:line="300" w:lineRule="exact"/>
              <w:rPr>
                <w:rFonts w:hint="eastAsia" w:ascii="宋体" w:hAnsi="宋体" w:cs="宋体"/>
                <w:sz w:val="21"/>
                <w:szCs w:val="21"/>
                <w:lang w:val="en-US" w:eastAsia="zh-CN"/>
              </w:rPr>
            </w:pPr>
            <w:r>
              <w:rPr>
                <w:rFonts w:hint="eastAsia" w:ascii="宋体" w:hAnsi="宋体" w:cs="宋体"/>
                <w:sz w:val="21"/>
                <w:szCs w:val="21"/>
                <w:lang w:val="en-US" w:eastAsia="zh-CN"/>
              </w:rPr>
              <w:t>O：铝合金铸件的加工所涉及场所的相关职业健康管理活动</w:t>
            </w:r>
          </w:p>
          <w:p>
            <w:pPr>
              <w:spacing w:line="300" w:lineRule="exact"/>
              <w:rPr>
                <w:rFonts w:asciiTheme="minorEastAsia" w:hAnsiTheme="minorEastAsia" w:eastAsiaTheme="minorEastAsia"/>
                <w:sz w:val="20"/>
              </w:rPr>
            </w:pPr>
            <w:r>
              <w:rPr>
                <w:rFonts w:hint="eastAsia" w:ascii="宋体" w:hAnsi="宋体" w:cs="宋体"/>
                <w:sz w:val="21"/>
                <w:szCs w:val="21"/>
                <w:lang w:val="en-US" w:eastAsia="zh-CN"/>
              </w:rPr>
              <w:t>注册地址：</w:t>
            </w:r>
            <w:r>
              <w:rPr>
                <w:rFonts w:asciiTheme="minorEastAsia" w:hAnsiTheme="minorEastAsia" w:eastAsiaTheme="minorEastAsia"/>
                <w:sz w:val="20"/>
              </w:rPr>
              <w:t>沧县兴济镇北桃杏村</w:t>
            </w:r>
          </w:p>
          <w:p>
            <w:pPr>
              <w:spacing w:line="300" w:lineRule="exact"/>
              <w:rPr>
                <w:rFonts w:hint="eastAsia" w:ascii="宋体" w:hAnsi="宋体" w:cs="宋体"/>
                <w:sz w:val="21"/>
                <w:szCs w:val="21"/>
                <w:lang w:val="en-US" w:eastAsia="zh-CN"/>
              </w:rPr>
            </w:pPr>
            <w:r>
              <w:rPr>
                <w:rFonts w:hint="eastAsia" w:ascii="宋体" w:hAnsi="宋体" w:cs="宋体"/>
                <w:sz w:val="21"/>
                <w:szCs w:val="21"/>
                <w:lang w:val="en-US" w:eastAsia="zh-CN"/>
              </w:rPr>
              <w:t>经营地址：</w:t>
            </w:r>
            <w:r>
              <w:rPr>
                <w:rFonts w:asciiTheme="minorEastAsia" w:hAnsiTheme="minorEastAsia" w:eastAsiaTheme="minorEastAsia"/>
                <w:sz w:val="20"/>
              </w:rPr>
              <w:t>沧县兴济镇北桃杏村</w:t>
            </w:r>
          </w:p>
          <w:p>
            <w:pPr>
              <w:spacing w:line="300" w:lineRule="exact"/>
              <w:rPr>
                <w:rFonts w:hint="eastAsia" w:ascii="宋体" w:hAnsi="宋体" w:eastAsia="宋体" w:cs="宋体"/>
                <w:bCs w:val="0"/>
                <w:kern w:val="2"/>
                <w:sz w:val="21"/>
                <w:szCs w:val="21"/>
                <w:lang w:val="en-US" w:eastAsia="zh-CN" w:bidi="ar-SA"/>
              </w:rPr>
            </w:pPr>
            <w:r>
              <w:rPr>
                <w:rFonts w:hint="eastAsia" w:ascii="宋体" w:hAnsi="宋体" w:cs="宋体"/>
                <w:sz w:val="21"/>
                <w:szCs w:val="21"/>
                <w:lang w:val="en-US" w:eastAsia="zh-CN"/>
              </w:rPr>
              <w:t>在确定管理体系的范围时考虑了公司的内外部因素和相关方的需求和期望，考虑了公司的产品和服务，考率了与公司的宗旨和战略方向一致。符</w:t>
            </w:r>
            <w:r>
              <w:rPr>
                <w:rFonts w:hint="eastAsia" w:ascii="宋体" w:hAnsi="宋体" w:eastAsia="宋体" w:cs="宋体"/>
                <w:bCs w:val="0"/>
                <w:spacing w:val="0"/>
                <w:kern w:val="2"/>
                <w:sz w:val="21"/>
                <w:szCs w:val="21"/>
                <w:lang w:val="en-US" w:eastAsia="zh-CN" w:bidi="ar-SA"/>
              </w:rPr>
              <w:t>合标准要求。</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管理体系及其过程</w:t>
            </w:r>
          </w:p>
        </w:tc>
        <w:tc>
          <w:tcPr>
            <w:tcW w:w="1039" w:type="dxa"/>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O</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 xml:space="preserve">4.4 </w:t>
            </w:r>
          </w:p>
          <w:p>
            <w:pPr>
              <w:adjustRightInd w:val="0"/>
              <w:snapToGrid w:val="0"/>
              <w:spacing w:line="300" w:lineRule="exact"/>
              <w:rPr>
                <w:rFonts w:hint="eastAsia" w:ascii="宋体" w:hAnsi="宋体" w:eastAsia="宋体" w:cs="宋体"/>
                <w:sz w:val="21"/>
                <w:szCs w:val="21"/>
              </w:rPr>
            </w:pPr>
          </w:p>
        </w:tc>
        <w:tc>
          <w:tcPr>
            <w:tcW w:w="11348" w:type="dxa"/>
            <w:vAlign w:val="top"/>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zh-CN"/>
              </w:rPr>
              <w:t xml:space="preserve">本公司按照 </w:t>
            </w:r>
            <w:r>
              <w:rPr>
                <w:rFonts w:hint="eastAsia" w:ascii="宋体" w:hAnsi="宋体" w:eastAsia="宋体" w:cs="宋体"/>
                <w:sz w:val="21"/>
                <w:szCs w:val="21"/>
              </w:rPr>
              <w:t>GB/T19001-2016</w:t>
            </w:r>
            <w:r>
              <w:rPr>
                <w:rFonts w:hint="eastAsia" w:ascii="宋体" w:hAnsi="宋体" w:eastAsia="宋体" w:cs="宋体"/>
                <w:sz w:val="21"/>
                <w:szCs w:val="21"/>
                <w:lang w:val="zh-CN"/>
              </w:rPr>
              <w:t xml:space="preserve">、 </w:t>
            </w:r>
            <w:r>
              <w:rPr>
                <w:rFonts w:hint="eastAsia" w:ascii="宋体" w:hAnsi="宋体" w:eastAsia="宋体" w:cs="宋体"/>
                <w:sz w:val="21"/>
                <w:szCs w:val="21"/>
              </w:rPr>
              <w:t>GB/T2</w:t>
            </w:r>
            <w:r>
              <w:rPr>
                <w:rFonts w:hint="eastAsia" w:ascii="宋体" w:hAnsi="宋体" w:eastAsia="宋体" w:cs="宋体"/>
                <w:sz w:val="21"/>
                <w:szCs w:val="21"/>
                <w:lang w:val="zh-CN"/>
              </w:rPr>
              <w:t>4001</w:t>
            </w:r>
            <w:r>
              <w:rPr>
                <w:rFonts w:hint="eastAsia" w:ascii="宋体" w:hAnsi="宋体" w:eastAsia="宋体" w:cs="宋体"/>
                <w:sz w:val="21"/>
                <w:szCs w:val="21"/>
              </w:rPr>
              <w:t>-2016</w:t>
            </w:r>
            <w:r>
              <w:rPr>
                <w:rFonts w:hint="eastAsia" w:ascii="宋体" w:hAnsi="宋体" w:eastAsia="宋体" w:cs="宋体"/>
                <w:sz w:val="21"/>
                <w:szCs w:val="21"/>
                <w:lang w:val="zh-CN"/>
              </w:rPr>
              <w:t>和GB/T45001-2020</w:t>
            </w:r>
            <w:r>
              <w:rPr>
                <w:rFonts w:hint="eastAsia" w:ascii="宋体" w:hAnsi="宋体" w:eastAsia="宋体" w:cs="宋体"/>
                <w:sz w:val="21"/>
                <w:szCs w:val="21"/>
              </w:rPr>
              <w:t>等</w:t>
            </w:r>
            <w:r>
              <w:rPr>
                <w:rFonts w:hint="eastAsia" w:ascii="宋体" w:hAnsi="宋体" w:eastAsia="宋体" w:cs="宋体"/>
                <w:sz w:val="21"/>
                <w:szCs w:val="21"/>
                <w:lang w:val="zh-CN"/>
              </w:rPr>
              <w:t>标准的要求，</w:t>
            </w:r>
            <w:r>
              <w:rPr>
                <w:rFonts w:hint="eastAsia" w:ascii="宋体" w:hAnsi="宋体" w:eastAsia="宋体" w:cs="宋体"/>
                <w:sz w:val="21"/>
                <w:szCs w:val="21"/>
              </w:rPr>
              <w:t>识别了经营各环节的过程及其相互作用，建立了</w:t>
            </w:r>
            <w:r>
              <w:rPr>
                <w:rFonts w:hint="eastAsia" w:ascii="宋体" w:hAnsi="宋体" w:eastAsia="宋体" w:cs="宋体"/>
                <w:sz w:val="21"/>
                <w:szCs w:val="21"/>
                <w:lang w:val="zh-CN"/>
              </w:rPr>
              <w:t>质量/环境/职业健康安全管理体系,</w:t>
            </w:r>
            <w:r>
              <w:rPr>
                <w:rFonts w:hint="eastAsia" w:ascii="宋体" w:hAnsi="宋体" w:eastAsia="宋体" w:cs="宋体"/>
                <w:sz w:val="21"/>
                <w:szCs w:val="21"/>
              </w:rPr>
              <w:t>并形成文件，本公司全体员工将有效地贯彻执行并持续改进其有效性。</w:t>
            </w:r>
          </w:p>
          <w:p>
            <w:pPr>
              <w:pStyle w:val="2"/>
              <w:adjustRightInd w:val="0"/>
              <w:snapToGrid w:val="0"/>
              <w:spacing w:before="0" w:after="0" w:line="300" w:lineRule="exact"/>
              <w:rPr>
                <w:rFonts w:hint="eastAsia" w:ascii="宋体" w:hAnsi="宋体" w:eastAsia="宋体" w:cs="宋体"/>
                <w:bCs w:val="0"/>
                <w:sz w:val="21"/>
                <w:szCs w:val="21"/>
              </w:rPr>
            </w:pPr>
            <w:r>
              <w:rPr>
                <w:rFonts w:hint="eastAsia" w:ascii="宋体" w:hAnsi="宋体" w:eastAsia="宋体" w:cs="宋体"/>
                <w:bCs w:val="0"/>
                <w:sz w:val="21"/>
                <w:szCs w:val="21"/>
              </w:rPr>
              <w:t>管理体系及其过程：公司于202</w:t>
            </w:r>
            <w:r>
              <w:rPr>
                <w:rFonts w:hint="eastAsia" w:ascii="宋体" w:hAnsi="宋体" w:cs="宋体"/>
                <w:bCs w:val="0"/>
                <w:sz w:val="21"/>
                <w:szCs w:val="21"/>
                <w:lang w:val="en-US" w:eastAsia="zh-CN"/>
              </w:rPr>
              <w:t>2</w:t>
            </w:r>
            <w:r>
              <w:rPr>
                <w:rFonts w:hint="eastAsia" w:ascii="宋体" w:hAnsi="宋体" w:eastAsia="宋体" w:cs="宋体"/>
                <w:bCs w:val="0"/>
                <w:sz w:val="21"/>
                <w:szCs w:val="21"/>
              </w:rPr>
              <w:t>年</w:t>
            </w:r>
            <w:r>
              <w:rPr>
                <w:rFonts w:hint="eastAsia" w:ascii="宋体" w:hAnsi="宋体" w:cs="宋体"/>
                <w:bCs w:val="0"/>
                <w:sz w:val="21"/>
                <w:szCs w:val="21"/>
                <w:lang w:val="en-US" w:eastAsia="zh-CN"/>
              </w:rPr>
              <w:t>1月初</w:t>
            </w:r>
            <w:r>
              <w:rPr>
                <w:rFonts w:hint="eastAsia" w:ascii="宋体" w:hAnsi="宋体" w:eastAsia="宋体" w:cs="宋体"/>
                <w:bCs w:val="0"/>
                <w:sz w:val="21"/>
                <w:szCs w:val="21"/>
              </w:rPr>
              <w:t>对质量/环境/职业健康安全管理体系进行策划，识别了各个过程、环境因素、危险源等，编制了管理手册、程序文件、</w:t>
            </w:r>
            <w:r>
              <w:rPr>
                <w:rFonts w:hint="eastAsia" w:ascii="宋体" w:hAnsi="宋体" w:eastAsia="宋体" w:cs="宋体"/>
                <w:bCs w:val="0"/>
                <w:sz w:val="21"/>
                <w:szCs w:val="21"/>
                <w:lang w:eastAsia="zh-CN"/>
              </w:rPr>
              <w:t>三级作业</w:t>
            </w:r>
            <w:r>
              <w:rPr>
                <w:rFonts w:hint="eastAsia" w:ascii="宋体" w:hAnsi="宋体" w:eastAsia="宋体" w:cs="宋体"/>
                <w:bCs w:val="0"/>
                <w:sz w:val="21"/>
                <w:szCs w:val="21"/>
              </w:rPr>
              <w:t>文件及记录，于202</w:t>
            </w:r>
            <w:r>
              <w:rPr>
                <w:rFonts w:hint="eastAsia" w:ascii="宋体" w:hAnsi="宋体" w:cs="宋体"/>
                <w:bCs w:val="0"/>
                <w:sz w:val="21"/>
                <w:szCs w:val="21"/>
                <w:lang w:val="en-US" w:eastAsia="zh-CN"/>
              </w:rPr>
              <w:t>2</w:t>
            </w:r>
            <w:r>
              <w:rPr>
                <w:rFonts w:hint="eastAsia" w:ascii="宋体" w:hAnsi="宋体" w:eastAsia="宋体" w:cs="宋体"/>
                <w:bCs w:val="0"/>
                <w:sz w:val="21"/>
                <w:szCs w:val="21"/>
              </w:rPr>
              <w:t>年</w:t>
            </w:r>
            <w:r>
              <w:rPr>
                <w:rFonts w:hint="eastAsia" w:ascii="宋体" w:hAnsi="宋体" w:cs="宋体"/>
                <w:bCs w:val="0"/>
                <w:sz w:val="21"/>
                <w:szCs w:val="21"/>
                <w:lang w:val="en-US" w:eastAsia="zh-CN"/>
              </w:rPr>
              <w:t>1</w:t>
            </w:r>
            <w:r>
              <w:rPr>
                <w:rFonts w:hint="eastAsia" w:ascii="宋体" w:hAnsi="宋体" w:eastAsia="宋体" w:cs="宋体"/>
                <w:bCs w:val="0"/>
                <w:sz w:val="21"/>
                <w:szCs w:val="21"/>
              </w:rPr>
              <w:t>月</w:t>
            </w:r>
            <w:r>
              <w:rPr>
                <w:rFonts w:hint="eastAsia" w:ascii="宋体" w:hAnsi="宋体" w:cs="宋体"/>
                <w:bCs w:val="0"/>
                <w:sz w:val="21"/>
                <w:szCs w:val="21"/>
                <w:lang w:val="en-US" w:eastAsia="zh-CN"/>
              </w:rPr>
              <w:t>5</w:t>
            </w:r>
            <w:r>
              <w:rPr>
                <w:rFonts w:hint="eastAsia" w:ascii="宋体" w:hAnsi="宋体" w:eastAsia="宋体" w:cs="宋体"/>
                <w:bCs w:val="0"/>
                <w:sz w:val="21"/>
                <w:szCs w:val="21"/>
              </w:rPr>
              <w:t>日</w:t>
            </w:r>
            <w:r>
              <w:rPr>
                <w:rFonts w:hint="eastAsia" w:ascii="宋体" w:hAnsi="宋体" w:eastAsia="宋体" w:cs="宋体"/>
                <w:bCs w:val="0"/>
                <w:sz w:val="21"/>
                <w:szCs w:val="21"/>
                <w:lang w:val="zh-CN"/>
              </w:rPr>
              <w:t>发布</w:t>
            </w:r>
            <w:r>
              <w:rPr>
                <w:rFonts w:hint="eastAsia" w:ascii="宋体" w:hAnsi="宋体" w:eastAsia="宋体" w:cs="宋体"/>
                <w:bCs w:val="0"/>
                <w:sz w:val="21"/>
                <w:szCs w:val="21"/>
              </w:rPr>
              <w:t>并</w:t>
            </w:r>
            <w:r>
              <w:rPr>
                <w:rFonts w:hint="eastAsia" w:ascii="宋体" w:hAnsi="宋体" w:eastAsia="宋体" w:cs="宋体"/>
                <w:bCs w:val="0"/>
                <w:sz w:val="21"/>
                <w:szCs w:val="21"/>
                <w:lang w:val="zh-CN"/>
              </w:rPr>
              <w:t>实施。</w:t>
            </w:r>
            <w:r>
              <w:rPr>
                <w:rFonts w:hint="eastAsia" w:ascii="宋体" w:hAnsi="宋体" w:cs="宋体"/>
                <w:bCs w:val="0"/>
                <w:sz w:val="21"/>
                <w:szCs w:val="21"/>
                <w:lang w:val="zh-CN"/>
              </w:rPr>
              <w:t>经过九个多月</w:t>
            </w:r>
            <w:r>
              <w:rPr>
                <w:rFonts w:hint="eastAsia" w:ascii="宋体" w:hAnsi="宋体" w:eastAsia="宋体" w:cs="宋体"/>
                <w:bCs w:val="0"/>
                <w:sz w:val="21"/>
                <w:szCs w:val="21"/>
              </w:rPr>
              <w:t>的运行，管理体系运行正常。</w:t>
            </w:r>
          </w:p>
          <w:p>
            <w:pPr>
              <w:pStyle w:val="2"/>
              <w:adjustRightInd w:val="0"/>
              <w:snapToGrid w:val="0"/>
              <w:spacing w:before="0" w:after="0" w:line="300" w:lineRule="exact"/>
              <w:rPr>
                <w:rFonts w:hint="eastAsia" w:ascii="宋体" w:hAnsi="宋体" w:eastAsia="宋体" w:cs="宋体"/>
                <w:bCs w:val="0"/>
                <w:spacing w:val="10"/>
                <w:kern w:val="2"/>
                <w:sz w:val="21"/>
                <w:szCs w:val="21"/>
                <w:lang w:val="en-US" w:eastAsia="zh-CN" w:bidi="ar-SA"/>
              </w:rPr>
            </w:pPr>
            <w:r>
              <w:rPr>
                <w:rFonts w:hint="eastAsia" w:ascii="宋体" w:hAnsi="宋体" w:eastAsia="宋体" w:cs="宋体"/>
                <w:sz w:val="21"/>
                <w:szCs w:val="21"/>
                <w:lang w:val="en-US" w:eastAsia="zh-CN"/>
              </w:rPr>
              <w:sym w:font="Wingdings 2" w:char="F098"/>
            </w:r>
            <w:r>
              <w:rPr>
                <w:rFonts w:hint="eastAsia" w:ascii="宋体" w:hAnsi="宋体" w:cs="宋体"/>
                <w:sz w:val="21"/>
                <w:szCs w:val="21"/>
                <w:lang w:val="en-US" w:eastAsia="zh-CN"/>
              </w:rPr>
              <w:t>经识别，</w:t>
            </w:r>
            <w:r>
              <w:rPr>
                <w:rFonts w:hint="eastAsia" w:ascii="宋体" w:hAnsi="宋体" w:eastAsia="宋体" w:cs="宋体"/>
                <w:bCs w:val="0"/>
                <w:sz w:val="21"/>
                <w:szCs w:val="21"/>
                <w:lang w:eastAsia="zh-CN"/>
              </w:rPr>
              <w:t>外包过程</w:t>
            </w:r>
            <w:r>
              <w:rPr>
                <w:rFonts w:hint="eastAsia" w:ascii="宋体" w:hAnsi="宋体" w:cs="宋体"/>
                <w:bCs w:val="0"/>
                <w:sz w:val="21"/>
                <w:szCs w:val="21"/>
                <w:lang w:eastAsia="zh-CN"/>
              </w:rPr>
              <w:t>为</w:t>
            </w:r>
            <w:r>
              <w:rPr>
                <w:rFonts w:hint="eastAsia" w:ascii="宋体" w:hAnsi="宋体" w:cs="宋体"/>
                <w:bCs w:val="0"/>
                <w:sz w:val="21"/>
                <w:szCs w:val="21"/>
                <w:lang w:val="en-US" w:eastAsia="zh-CN"/>
              </w:rPr>
              <w:t>:金属模具加工、危废处置</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领导作用和承诺</w:t>
            </w:r>
          </w:p>
        </w:tc>
        <w:tc>
          <w:tcPr>
            <w:tcW w:w="1039" w:type="dxa"/>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O</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5.1</w:t>
            </w:r>
          </w:p>
          <w:p>
            <w:pPr>
              <w:adjustRightInd w:val="0"/>
              <w:snapToGrid w:val="0"/>
              <w:spacing w:line="300" w:lineRule="exact"/>
              <w:rPr>
                <w:rFonts w:hint="eastAsia" w:ascii="宋体" w:hAnsi="宋体" w:eastAsia="宋体" w:cs="宋体"/>
                <w:sz w:val="21"/>
                <w:szCs w:val="21"/>
              </w:rPr>
            </w:pPr>
          </w:p>
        </w:tc>
        <w:tc>
          <w:tcPr>
            <w:tcW w:w="11348" w:type="dxa"/>
            <w:vAlign w:val="top"/>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rPr>
              <w:t>公司最高管理者通过以下活动证实其对质量环境职业健康安全管理体系的领导作用和承诺：</w:t>
            </w:r>
            <w:r>
              <w:rPr>
                <w:rFonts w:hint="eastAsia" w:ascii="宋体" w:hAnsi="宋体" w:eastAsia="宋体" w:cs="宋体"/>
                <w:sz w:val="21"/>
                <w:szCs w:val="21"/>
              </w:rPr>
              <w:br w:type="textWrapping"/>
            </w:r>
            <w:r>
              <w:rPr>
                <w:rFonts w:hint="eastAsia" w:ascii="宋体" w:hAnsi="宋体" w:cs="宋体"/>
                <w:sz w:val="21"/>
                <w:szCs w:val="21"/>
                <w:lang w:eastAsia="zh-CN"/>
              </w:rPr>
              <w:t>制定方针和目标，建立培训系统，建立合理的组织结构，建立有效的沟通渠道，创造良好的氛围，推动改进，对管理体系有效性承担责任等方面；</w:t>
            </w:r>
          </w:p>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与</w:t>
            </w:r>
            <w:r>
              <w:rPr>
                <w:rFonts w:hint="eastAsia" w:ascii="宋体" w:hAnsi="宋体" w:cs="宋体"/>
                <w:sz w:val="21"/>
                <w:szCs w:val="21"/>
                <w:lang w:eastAsia="zh-CN"/>
              </w:rPr>
              <w:t>总经理王鹏</w:t>
            </w:r>
            <w:r>
              <w:rPr>
                <w:rFonts w:hint="eastAsia" w:ascii="宋体" w:hAnsi="宋体" w:eastAsia="宋体" w:cs="宋体"/>
                <w:sz w:val="21"/>
                <w:szCs w:val="21"/>
                <w:lang w:eastAsia="zh-CN"/>
              </w:rPr>
              <w:t>沟通，有较强的管意识，能说出自己对于体系的领导作用和承诺，回答基本正确。</w:t>
            </w:r>
          </w:p>
          <w:p>
            <w:pPr>
              <w:adjustRightInd w:val="0"/>
              <w:snapToGrid w:val="0"/>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公司最高管理者组织相关部门制订发展规划、管理承诺、管理方针及管理目标，</w:t>
            </w:r>
            <w:r>
              <w:rPr>
                <w:rFonts w:hint="eastAsia" w:ascii="宋体" w:hAnsi="宋体" w:eastAsia="宋体" w:cs="宋体"/>
                <w:sz w:val="21"/>
                <w:szCs w:val="21"/>
                <w:lang w:eastAsia="zh-CN"/>
              </w:rPr>
              <w:t>始终致力于顾客满意，</w:t>
            </w:r>
            <w:r>
              <w:rPr>
                <w:rFonts w:hint="eastAsia" w:ascii="宋体" w:hAnsi="宋体" w:eastAsia="宋体" w:cs="宋体"/>
                <w:sz w:val="21"/>
                <w:szCs w:val="21"/>
              </w:rPr>
              <w:t>提高员工队伍整体素质。</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管理方针</w:t>
            </w:r>
          </w:p>
        </w:tc>
        <w:tc>
          <w:tcPr>
            <w:tcW w:w="1039" w:type="dxa"/>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O</w:t>
            </w:r>
          </w:p>
          <w:p>
            <w:pPr>
              <w:rPr>
                <w:rFonts w:hint="eastAsia" w:ascii="宋体" w:hAnsi="宋体" w:eastAsia="宋体" w:cs="宋体"/>
                <w:sz w:val="21"/>
                <w:szCs w:val="21"/>
              </w:rPr>
            </w:pPr>
            <w:r>
              <w:rPr>
                <w:rFonts w:hint="eastAsia" w:ascii="宋体" w:hAnsi="宋体" w:eastAsia="宋体" w:cs="宋体"/>
                <w:sz w:val="21"/>
                <w:szCs w:val="21"/>
              </w:rPr>
              <w:t>5.2</w:t>
            </w:r>
          </w:p>
          <w:p>
            <w:pPr>
              <w:rPr>
                <w:rFonts w:hint="eastAsia" w:ascii="宋体" w:hAnsi="宋体" w:eastAsia="宋体" w:cs="宋体"/>
                <w:sz w:val="21"/>
                <w:szCs w:val="21"/>
              </w:rPr>
            </w:pPr>
          </w:p>
        </w:tc>
        <w:tc>
          <w:tcPr>
            <w:tcW w:w="11348" w:type="dxa"/>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查见《</w:t>
            </w:r>
            <w:r>
              <w:rPr>
                <w:rFonts w:hint="eastAsia" w:ascii="宋体" w:hAnsi="宋体" w:eastAsia="宋体" w:cs="宋体"/>
                <w:sz w:val="21"/>
                <w:szCs w:val="21"/>
              </w:rPr>
              <w:t>管</w:t>
            </w:r>
            <w:r>
              <w:rPr>
                <w:rFonts w:hint="eastAsia" w:ascii="宋体" w:hAnsi="宋体" w:eastAsia="宋体" w:cs="宋体"/>
                <w:sz w:val="21"/>
                <w:szCs w:val="21"/>
                <w:lang w:eastAsia="zh-CN"/>
              </w:rPr>
              <w:t>理手册》</w:t>
            </w:r>
            <w:r>
              <w:rPr>
                <w:rFonts w:hint="eastAsia" w:ascii="宋体" w:hAnsi="宋体" w:cs="宋体"/>
                <w:sz w:val="21"/>
                <w:szCs w:val="21"/>
                <w:lang w:eastAsia="zh-CN"/>
              </w:rPr>
              <w:t>QS-SC-2022</w:t>
            </w:r>
            <w:r>
              <w:rPr>
                <w:rFonts w:hint="eastAsia" w:ascii="宋体" w:hAnsi="宋体" w:eastAsia="宋体" w:cs="宋体"/>
                <w:sz w:val="21"/>
                <w:szCs w:val="21"/>
                <w:lang w:eastAsia="zh-CN"/>
              </w:rPr>
              <w:t>，</w:t>
            </w:r>
            <w:r>
              <w:rPr>
                <w:rFonts w:hint="eastAsia" w:ascii="宋体" w:hAnsi="宋体" w:eastAsia="宋体" w:cs="宋体"/>
                <w:sz w:val="21"/>
                <w:szCs w:val="21"/>
              </w:rPr>
              <w:t>制定了</w:t>
            </w:r>
            <w:r>
              <w:rPr>
                <w:rFonts w:hint="eastAsia" w:ascii="宋体" w:hAnsi="宋体" w:eastAsia="宋体" w:cs="宋体"/>
                <w:sz w:val="21"/>
                <w:szCs w:val="21"/>
                <w:lang w:eastAsia="zh-CN"/>
              </w:rPr>
              <w:t>企业的</w:t>
            </w:r>
            <w:r>
              <w:rPr>
                <w:rFonts w:hint="eastAsia" w:ascii="宋体" w:hAnsi="宋体" w:eastAsia="宋体" w:cs="宋体"/>
                <w:sz w:val="21"/>
                <w:szCs w:val="21"/>
              </w:rPr>
              <w:t>管理方针：</w:t>
            </w:r>
          </w:p>
          <w:p>
            <w:pPr>
              <w:rPr>
                <w:rFonts w:hint="eastAsia" w:ascii="宋体" w:hAnsi="宋体" w:eastAsia="宋体" w:cs="宋体"/>
                <w:sz w:val="21"/>
                <w:szCs w:val="21"/>
              </w:rPr>
            </w:pPr>
            <w:r>
              <w:rPr>
                <w:rFonts w:hint="eastAsia" w:ascii="宋体" w:hAnsi="宋体" w:eastAsia="宋体" w:cs="宋体"/>
                <w:b/>
                <w:bCs/>
                <w:sz w:val="21"/>
                <w:szCs w:val="21"/>
              </w:rPr>
              <w:t>职业健康安全方针：</w:t>
            </w:r>
            <w:r>
              <w:rPr>
                <w:rFonts w:hint="eastAsia" w:ascii="宋体" w:hAnsi="宋体" w:eastAsia="宋体" w:cs="宋体"/>
                <w:sz w:val="21"/>
                <w:szCs w:val="21"/>
              </w:rPr>
              <w:t>遵守法规，安全第一，消除隐患</w:t>
            </w:r>
            <w:r>
              <w:rPr>
                <w:rFonts w:hint="eastAsia" w:ascii="宋体" w:hAnsi="宋体" w:eastAsia="宋体" w:cs="宋体"/>
                <w:sz w:val="21"/>
                <w:szCs w:val="21"/>
                <w:lang w:eastAsia="zh-CN"/>
              </w:rPr>
              <w:t>，</w:t>
            </w:r>
            <w:r>
              <w:rPr>
                <w:rFonts w:hint="eastAsia" w:ascii="宋体" w:hAnsi="宋体" w:eastAsia="宋体" w:cs="宋体"/>
                <w:sz w:val="21"/>
                <w:szCs w:val="21"/>
              </w:rPr>
              <w:t>持续改进</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公司的管理方针记录在</w:t>
            </w:r>
            <w:r>
              <w:rPr>
                <w:rFonts w:hint="eastAsia" w:ascii="宋体" w:hAnsi="宋体" w:eastAsia="宋体" w:cs="宋体"/>
                <w:sz w:val="21"/>
                <w:szCs w:val="21"/>
                <w:lang w:eastAsia="zh-CN"/>
              </w:rPr>
              <w:t>《</w:t>
            </w:r>
            <w:r>
              <w:rPr>
                <w:rFonts w:hint="eastAsia" w:ascii="宋体" w:hAnsi="宋体" w:eastAsia="宋体" w:cs="宋体"/>
                <w:sz w:val="21"/>
                <w:szCs w:val="21"/>
              </w:rPr>
              <w:t>管理手册</w:t>
            </w:r>
            <w:r>
              <w:rPr>
                <w:rFonts w:hint="eastAsia" w:ascii="宋体" w:hAnsi="宋体" w:eastAsia="宋体" w:cs="宋体"/>
                <w:sz w:val="21"/>
                <w:szCs w:val="21"/>
                <w:lang w:eastAsia="zh-CN"/>
              </w:rPr>
              <w:t>》</w:t>
            </w:r>
            <w:r>
              <w:rPr>
                <w:rFonts w:hint="eastAsia" w:ascii="宋体" w:hAnsi="宋体" w:eastAsia="宋体" w:cs="宋体"/>
                <w:sz w:val="21"/>
                <w:szCs w:val="21"/>
              </w:rPr>
              <w:t>中，并在组织内部得到广泛的宣传、沟通。</w:t>
            </w:r>
          </w:p>
          <w:p>
            <w:pPr>
              <w:rPr>
                <w:rFonts w:hint="eastAsia" w:ascii="宋体" w:hAnsi="宋体" w:eastAsia="宋体" w:cs="宋体"/>
                <w:sz w:val="21"/>
                <w:szCs w:val="21"/>
              </w:rPr>
            </w:pPr>
            <w:r>
              <w:rPr>
                <w:rFonts w:hint="eastAsia" w:ascii="宋体" w:hAnsi="宋体" w:eastAsia="宋体" w:cs="宋体"/>
                <w:sz w:val="21"/>
                <w:szCs w:val="21"/>
              </w:rPr>
              <w:t>方针是管理层共同研究决定的，结合了公司</w:t>
            </w:r>
            <w:r>
              <w:rPr>
                <w:rFonts w:hint="eastAsia" w:ascii="宋体" w:hAnsi="宋体" w:eastAsia="宋体" w:cs="宋体"/>
                <w:sz w:val="21"/>
                <w:szCs w:val="21"/>
                <w:lang w:eastAsia="zh-CN"/>
              </w:rPr>
              <w:t>服务</w:t>
            </w:r>
            <w:r>
              <w:rPr>
                <w:rFonts w:hint="eastAsia" w:ascii="宋体" w:hAnsi="宋体" w:eastAsia="宋体" w:cs="宋体"/>
                <w:sz w:val="21"/>
                <w:szCs w:val="21"/>
              </w:rPr>
              <w:t>特点和目前的实际状况。方针初步制定后，由公司员工进行讨论，在公司</w:t>
            </w:r>
            <w:r>
              <w:rPr>
                <w:rFonts w:hint="eastAsia" w:ascii="宋体" w:hAnsi="宋体" w:eastAsia="宋体" w:cs="宋体"/>
                <w:sz w:val="21"/>
                <w:szCs w:val="21"/>
                <w:lang w:eastAsia="zh-CN"/>
              </w:rPr>
              <w:t>管理</w:t>
            </w:r>
            <w:r>
              <w:rPr>
                <w:rFonts w:hint="eastAsia" w:ascii="宋体" w:hAnsi="宋体" w:eastAsia="宋体" w:cs="宋体"/>
                <w:sz w:val="21"/>
                <w:szCs w:val="21"/>
              </w:rPr>
              <w:t>体系文件的发布会上，对管理方针和目标进行了讲解，使全体员工能够理解。同时，</w:t>
            </w:r>
            <w:r>
              <w:rPr>
                <w:rFonts w:hint="eastAsia" w:ascii="宋体" w:hAnsi="宋体" w:eastAsia="宋体" w:cs="宋体"/>
                <w:sz w:val="21"/>
                <w:szCs w:val="21"/>
                <w:lang w:eastAsia="zh-CN"/>
              </w:rPr>
              <w:t>通过贯标培训</w:t>
            </w:r>
            <w:r>
              <w:rPr>
                <w:rFonts w:hint="eastAsia" w:ascii="宋体" w:hAnsi="宋体" w:eastAsia="宋体" w:cs="宋体"/>
                <w:sz w:val="21"/>
                <w:szCs w:val="21"/>
              </w:rPr>
              <w:t>、文件下发，内部理解，实施过程中，始终强调方针的意义的内涵。</w:t>
            </w:r>
          </w:p>
          <w:p>
            <w:pPr>
              <w:rPr>
                <w:rFonts w:hint="eastAsia" w:ascii="宋体" w:hAnsi="宋体" w:eastAsia="宋体" w:cs="宋体"/>
                <w:sz w:val="21"/>
                <w:szCs w:val="21"/>
              </w:rPr>
            </w:pPr>
            <w:r>
              <w:rPr>
                <w:rFonts w:hint="eastAsia" w:ascii="宋体" w:hAnsi="宋体" w:eastAsia="宋体" w:cs="宋体"/>
                <w:sz w:val="21"/>
                <w:szCs w:val="21"/>
                <w:lang w:eastAsia="zh-CN"/>
              </w:rPr>
              <w:t>管理方针</w:t>
            </w:r>
            <w:r>
              <w:rPr>
                <w:rFonts w:hint="eastAsia" w:ascii="宋体" w:hAnsi="宋体" w:eastAsia="宋体" w:cs="宋体"/>
                <w:sz w:val="21"/>
                <w:szCs w:val="21"/>
              </w:rPr>
              <w:t>通过</w:t>
            </w:r>
            <w:r>
              <w:rPr>
                <w:rFonts w:hint="eastAsia" w:ascii="宋体" w:hAnsi="宋体" w:eastAsia="宋体" w:cs="宋体"/>
                <w:sz w:val="21"/>
                <w:szCs w:val="21"/>
                <w:lang w:eastAsia="zh-CN"/>
              </w:rPr>
              <w:t>签订安全协议</w:t>
            </w:r>
            <w:r>
              <w:rPr>
                <w:rFonts w:hint="eastAsia" w:ascii="宋体" w:hAnsi="宋体" w:eastAsia="宋体" w:cs="宋体"/>
                <w:sz w:val="21"/>
                <w:szCs w:val="21"/>
              </w:rPr>
              <w:t>、</w:t>
            </w:r>
            <w:r>
              <w:rPr>
                <w:rFonts w:hint="eastAsia" w:ascii="宋体" w:hAnsi="宋体" w:eastAsia="宋体" w:cs="宋体"/>
                <w:sz w:val="21"/>
                <w:szCs w:val="21"/>
                <w:lang w:eastAsia="zh-CN"/>
              </w:rPr>
              <w:t>相关方</w:t>
            </w:r>
            <w:r>
              <w:rPr>
                <w:rFonts w:hint="eastAsia" w:ascii="宋体" w:hAnsi="宋体" w:eastAsia="宋体" w:cs="宋体"/>
                <w:sz w:val="21"/>
                <w:szCs w:val="21"/>
              </w:rPr>
              <w:t>告知、合同等方式向相关方提供。</w:t>
            </w:r>
          </w:p>
          <w:p>
            <w:pPr>
              <w:rPr>
                <w:rFonts w:hint="eastAsia" w:ascii="宋体" w:hAnsi="宋体" w:eastAsia="宋体" w:cs="宋体"/>
                <w:sz w:val="21"/>
                <w:szCs w:val="21"/>
              </w:rPr>
            </w:pPr>
            <w:r>
              <w:rPr>
                <w:rFonts w:hint="eastAsia" w:ascii="宋体" w:hAnsi="宋体" w:eastAsia="宋体" w:cs="宋体"/>
                <w:sz w:val="21"/>
                <w:szCs w:val="21"/>
              </w:rPr>
              <w:t>经</w:t>
            </w:r>
            <w:r>
              <w:rPr>
                <w:rFonts w:hint="eastAsia" w:ascii="宋体" w:hAnsi="宋体" w:cs="宋体"/>
                <w:sz w:val="21"/>
                <w:szCs w:val="21"/>
                <w:lang w:val="en-US" w:eastAsia="zh-CN"/>
              </w:rPr>
              <w:t>2022</w:t>
            </w:r>
            <w:r>
              <w:rPr>
                <w:rFonts w:hint="eastAsia" w:ascii="宋体" w:hAnsi="宋体" w:eastAsia="宋体" w:cs="宋体"/>
                <w:sz w:val="21"/>
                <w:szCs w:val="21"/>
              </w:rPr>
              <w:t>年</w:t>
            </w:r>
            <w:r>
              <w:rPr>
                <w:rFonts w:hint="eastAsia" w:ascii="宋体" w:hAnsi="宋体" w:cs="宋体"/>
                <w:sz w:val="21"/>
                <w:szCs w:val="21"/>
                <w:lang w:val="en-US" w:eastAsia="zh-CN"/>
              </w:rPr>
              <w:t>7</w:t>
            </w:r>
            <w:r>
              <w:rPr>
                <w:rFonts w:hint="eastAsia" w:ascii="宋体" w:hAnsi="宋体" w:eastAsia="宋体" w:cs="宋体"/>
                <w:sz w:val="21"/>
                <w:szCs w:val="21"/>
              </w:rPr>
              <w:t>月</w:t>
            </w:r>
            <w:r>
              <w:rPr>
                <w:rFonts w:hint="eastAsia" w:ascii="宋体" w:hAnsi="宋体" w:cs="宋体"/>
                <w:sz w:val="21"/>
                <w:szCs w:val="21"/>
                <w:lang w:val="en-US" w:eastAsia="zh-CN"/>
              </w:rPr>
              <w:t>30</w:t>
            </w:r>
            <w:r>
              <w:rPr>
                <w:rFonts w:hint="eastAsia" w:ascii="宋体" w:hAnsi="宋体" w:eastAsia="宋体" w:cs="宋体"/>
                <w:sz w:val="21"/>
                <w:szCs w:val="21"/>
              </w:rPr>
              <w:t>日</w:t>
            </w:r>
            <w:r>
              <w:rPr>
                <w:rFonts w:hint="eastAsia" w:ascii="宋体" w:hAnsi="宋体" w:eastAsia="宋体" w:cs="宋体"/>
                <w:sz w:val="21"/>
                <w:szCs w:val="21"/>
                <w:lang w:eastAsia="zh-CN"/>
              </w:rPr>
              <w:t>召开</w:t>
            </w:r>
            <w:r>
              <w:rPr>
                <w:rFonts w:hint="eastAsia" w:ascii="宋体" w:hAnsi="宋体" w:eastAsia="宋体" w:cs="宋体"/>
                <w:sz w:val="21"/>
                <w:szCs w:val="21"/>
              </w:rPr>
              <w:t>的管理评审</w:t>
            </w:r>
            <w:r>
              <w:rPr>
                <w:rFonts w:hint="eastAsia" w:ascii="宋体" w:hAnsi="宋体" w:eastAsia="宋体" w:cs="宋体"/>
                <w:sz w:val="21"/>
                <w:szCs w:val="21"/>
                <w:lang w:eastAsia="zh-CN"/>
              </w:rPr>
              <w:t>会议</w:t>
            </w:r>
            <w:r>
              <w:rPr>
                <w:rFonts w:hint="eastAsia" w:ascii="宋体" w:hAnsi="宋体" w:cs="宋体"/>
                <w:sz w:val="21"/>
                <w:szCs w:val="21"/>
                <w:lang w:eastAsia="zh-CN"/>
              </w:rPr>
              <w:t>评价</w:t>
            </w:r>
            <w:r>
              <w:rPr>
                <w:rFonts w:hint="eastAsia" w:ascii="宋体" w:hAnsi="宋体" w:eastAsia="宋体" w:cs="宋体"/>
                <w:sz w:val="21"/>
                <w:szCs w:val="21"/>
              </w:rPr>
              <w:t>，管理方针适应其宗旨和环境并支持其长远战略方向；为制定管理目标提供框架；包括满足适用要求的承诺和持续改进质量管理体系的承诺。方针基本能够满足标准的要求。</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基本符合要求。</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组织的岗位、职责和权限</w:t>
            </w:r>
          </w:p>
        </w:tc>
        <w:tc>
          <w:tcPr>
            <w:tcW w:w="1039" w:type="dxa"/>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O</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5.3</w:t>
            </w:r>
          </w:p>
          <w:p>
            <w:pPr>
              <w:adjustRightInd w:val="0"/>
              <w:snapToGrid w:val="0"/>
              <w:spacing w:line="300" w:lineRule="exact"/>
              <w:rPr>
                <w:rFonts w:hint="eastAsia" w:ascii="宋体" w:hAnsi="宋体" w:eastAsia="宋体" w:cs="宋体"/>
                <w:sz w:val="21"/>
                <w:szCs w:val="21"/>
              </w:rPr>
            </w:pPr>
          </w:p>
        </w:tc>
        <w:tc>
          <w:tcPr>
            <w:tcW w:w="11348" w:type="dxa"/>
            <w:vAlign w:val="top"/>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rPr>
              <w:t>为了有效的实施质量、环境、职业健康安全管理，本公司确定了公司结构：</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——公司总经理、体系负责人为公司的管理层。</w:t>
            </w:r>
          </w:p>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rPr>
              <w:t>——公司设置管理部门如下：</w:t>
            </w:r>
            <w:r>
              <w:rPr>
                <w:rFonts w:hint="eastAsia" w:ascii="宋体" w:hAnsi="宋体" w:cs="宋体"/>
                <w:sz w:val="21"/>
                <w:szCs w:val="21"/>
                <w:lang w:eastAsia="zh-CN"/>
              </w:rPr>
              <w:t>综合部</w:t>
            </w:r>
            <w:r>
              <w:rPr>
                <w:rFonts w:hint="eastAsia" w:ascii="宋体" w:hAnsi="宋体" w:eastAsia="宋体" w:cs="宋体"/>
                <w:sz w:val="21"/>
                <w:szCs w:val="21"/>
              </w:rPr>
              <w:t>、</w:t>
            </w:r>
            <w:r>
              <w:rPr>
                <w:rFonts w:hint="eastAsia" w:ascii="宋体" w:hAnsi="宋体" w:cs="宋体"/>
                <w:sz w:val="21"/>
                <w:szCs w:val="21"/>
                <w:lang w:eastAsia="zh-CN"/>
              </w:rPr>
              <w:t>生产部。</w:t>
            </w:r>
          </w:p>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eastAsia="zh-CN"/>
              </w:rPr>
              <w:t>《管理手册》</w:t>
            </w:r>
            <w:r>
              <w:rPr>
                <w:rFonts w:hint="eastAsia" w:ascii="宋体" w:hAnsi="宋体" w:eastAsia="宋体" w:cs="宋体"/>
                <w:sz w:val="21"/>
                <w:szCs w:val="21"/>
              </w:rPr>
              <w:t>规定了各级各岗位人员职责、权限和相互关系，并在公司内对各级员工进行了必要的传达；</w:t>
            </w:r>
            <w:r>
              <w:rPr>
                <w:rFonts w:hint="eastAsia" w:ascii="宋体" w:hAnsi="宋体" w:eastAsia="宋体" w:cs="宋体"/>
                <w:sz w:val="21"/>
                <w:szCs w:val="21"/>
                <w:lang w:eastAsia="zh-CN"/>
              </w:rPr>
              <w:t>制定了《岗位任职要求》，</w:t>
            </w:r>
            <w:r>
              <w:rPr>
                <w:rFonts w:hint="eastAsia" w:ascii="宋体" w:hAnsi="宋体" w:eastAsia="宋体" w:cs="宋体"/>
                <w:sz w:val="21"/>
                <w:szCs w:val="21"/>
              </w:rPr>
              <w:t>规定了各岗位职责及权限，对本公司各主要岗位职责权限进行了确定</w:t>
            </w:r>
            <w:r>
              <w:rPr>
                <w:rFonts w:hint="eastAsia" w:ascii="宋体" w:hAnsi="宋体" w:eastAsia="宋体" w:cs="宋体"/>
                <w:sz w:val="21"/>
                <w:szCs w:val="21"/>
                <w:lang w:eastAsia="zh-CN"/>
              </w:rPr>
              <w:t>。</w:t>
            </w:r>
          </w:p>
          <w:p>
            <w:pPr>
              <w:adjustRightInd w:val="0"/>
              <w:snapToGrid w:val="0"/>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eastAsia="zh-CN"/>
              </w:rPr>
              <w:t>具体</w:t>
            </w:r>
            <w:r>
              <w:rPr>
                <w:rFonts w:hint="eastAsia" w:ascii="宋体" w:hAnsi="宋体" w:eastAsia="宋体" w:cs="宋体"/>
                <w:sz w:val="21"/>
                <w:szCs w:val="21"/>
              </w:rPr>
              <w:t>岗位职责及权限见</w:t>
            </w:r>
            <w:r>
              <w:rPr>
                <w:rFonts w:hint="eastAsia" w:ascii="宋体" w:hAnsi="宋体" w:eastAsia="宋体" w:cs="宋体"/>
                <w:sz w:val="21"/>
                <w:szCs w:val="21"/>
                <w:lang w:eastAsia="zh-CN"/>
              </w:rPr>
              <w:t>各部门审核记录</w:t>
            </w:r>
            <w:r>
              <w:rPr>
                <w:rFonts w:hint="eastAsia" w:ascii="宋体" w:hAnsi="宋体" w:eastAsia="宋体" w:cs="宋体"/>
                <w:sz w:val="21"/>
                <w:szCs w:val="21"/>
              </w:rPr>
              <w:t>。</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5" w:type="dxa"/>
            <w:vAlign w:val="top"/>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应对风险和机遇的措施</w:t>
            </w:r>
          </w:p>
          <w:p>
            <w:pPr>
              <w:adjustRightInd w:val="0"/>
              <w:snapToGrid w:val="0"/>
              <w:spacing w:line="300" w:lineRule="exact"/>
              <w:ind w:firstLine="210" w:firstLineChars="100"/>
              <w:rPr>
                <w:rFonts w:hint="eastAsia" w:ascii="宋体" w:hAnsi="宋体" w:eastAsia="宋体" w:cs="宋体"/>
                <w:sz w:val="21"/>
                <w:szCs w:val="21"/>
              </w:rPr>
            </w:pPr>
          </w:p>
          <w:p>
            <w:pPr>
              <w:adjustRightInd w:val="0"/>
              <w:snapToGrid w:val="0"/>
              <w:spacing w:line="300" w:lineRule="exact"/>
              <w:ind w:firstLine="210" w:firstLineChars="100"/>
              <w:rPr>
                <w:rFonts w:hint="eastAsia" w:ascii="宋体" w:hAnsi="宋体" w:eastAsia="宋体" w:cs="宋体"/>
                <w:sz w:val="21"/>
                <w:szCs w:val="21"/>
                <w:lang w:val="en-US" w:eastAsia="zh-CN"/>
              </w:rPr>
            </w:pPr>
          </w:p>
        </w:tc>
        <w:tc>
          <w:tcPr>
            <w:tcW w:w="1039" w:type="dxa"/>
            <w:vAlign w:val="top"/>
          </w:tcPr>
          <w:p>
            <w:pPr>
              <w:adjustRightInd w:val="0"/>
              <w:snapToGrid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w:t>
            </w:r>
          </w:p>
          <w:p>
            <w:pPr>
              <w:adjustRightInd w:val="0"/>
              <w:snapToGrid w:val="0"/>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6.1.1</w:t>
            </w:r>
          </w:p>
        </w:tc>
        <w:tc>
          <w:tcPr>
            <w:tcW w:w="11348" w:type="dxa"/>
            <w:vAlign w:val="top"/>
          </w:tcPr>
          <w:p>
            <w:pPr>
              <w:pStyle w:val="2"/>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查</w:t>
            </w:r>
            <w:r>
              <w:rPr>
                <w:rFonts w:hint="eastAsia" w:ascii="宋体" w:hAnsi="宋体" w:eastAsia="宋体" w:cs="宋体"/>
                <w:bCs w:val="0"/>
                <w:spacing w:val="0"/>
                <w:kern w:val="2"/>
                <w:sz w:val="21"/>
                <w:szCs w:val="21"/>
                <w:lang w:val="en-US" w:eastAsia="zh-CN" w:bidi="ar-SA"/>
              </w:rPr>
              <w:t>企业编制了《风险控制程序》</w:t>
            </w:r>
            <w:r>
              <w:rPr>
                <w:rFonts w:hint="eastAsia" w:ascii="宋体" w:hAnsi="宋体" w:cs="宋体"/>
                <w:bCs w:val="0"/>
                <w:spacing w:val="0"/>
                <w:kern w:val="2"/>
                <w:sz w:val="21"/>
                <w:szCs w:val="21"/>
                <w:lang w:val="en-US" w:eastAsia="zh-CN" w:bidi="ar-SA"/>
              </w:rPr>
              <w:t>，用于管理过程中风险和机遇的控制。</w:t>
            </w:r>
          </w:p>
          <w:p>
            <w:pPr>
              <w:adjustRightInd w:val="0"/>
              <w:snapToGrid w:val="0"/>
              <w:spacing w:line="300" w:lineRule="exact"/>
              <w:jc w:val="left"/>
              <w:rPr>
                <w:rFonts w:hint="eastAsia" w:ascii="宋体" w:hAnsi="宋体" w:eastAsia="宋体" w:cs="宋体"/>
                <w:bCs w:val="0"/>
                <w:spacing w:val="0"/>
                <w:kern w:val="2"/>
                <w:sz w:val="21"/>
                <w:szCs w:val="21"/>
                <w:lang w:val="en-US" w:eastAsia="zh-CN" w:bidi="ar-SA"/>
              </w:rPr>
            </w:pPr>
            <w:r>
              <w:rPr>
                <w:rFonts w:hint="eastAsia" w:ascii="宋体" w:hAnsi="宋体" w:cs="宋体"/>
                <w:sz w:val="21"/>
                <w:szCs w:val="21"/>
                <w:lang w:val="en-US" w:eastAsia="zh-CN"/>
              </w:rPr>
              <w:t>查企业</w:t>
            </w:r>
            <w:r>
              <w:rPr>
                <w:rFonts w:hint="eastAsia" w:ascii="宋体" w:hAnsi="宋体" w:eastAsia="宋体" w:cs="宋体"/>
                <w:bCs w:val="0"/>
                <w:spacing w:val="0"/>
                <w:kern w:val="2"/>
                <w:sz w:val="21"/>
                <w:szCs w:val="21"/>
                <w:lang w:val="en-US" w:eastAsia="zh-CN" w:bidi="ar-SA"/>
              </w:rPr>
              <w:t>编制</w:t>
            </w:r>
            <w:r>
              <w:rPr>
                <w:rFonts w:hint="eastAsia" w:ascii="宋体" w:hAnsi="宋体" w:cs="宋体"/>
                <w:bCs w:val="0"/>
                <w:spacing w:val="0"/>
                <w:kern w:val="2"/>
                <w:sz w:val="21"/>
                <w:szCs w:val="21"/>
                <w:lang w:val="en-US" w:eastAsia="zh-CN" w:bidi="ar-SA"/>
              </w:rPr>
              <w:t>有</w:t>
            </w:r>
            <w:r>
              <w:rPr>
                <w:rFonts w:hint="eastAsia" w:ascii="宋体" w:hAnsi="宋体" w:eastAsia="宋体" w:cs="宋体"/>
                <w:bCs w:val="0"/>
                <w:spacing w:val="0"/>
                <w:kern w:val="2"/>
                <w:sz w:val="21"/>
                <w:szCs w:val="21"/>
                <w:lang w:val="en-US" w:eastAsia="zh-CN" w:bidi="ar-SA"/>
              </w:rPr>
              <w:t>《风险</w:t>
            </w:r>
            <w:r>
              <w:rPr>
                <w:rFonts w:hint="eastAsia" w:ascii="宋体" w:hAnsi="宋体" w:cs="宋体"/>
                <w:bCs w:val="0"/>
                <w:spacing w:val="0"/>
                <w:kern w:val="2"/>
                <w:sz w:val="21"/>
                <w:szCs w:val="21"/>
                <w:lang w:val="en-US" w:eastAsia="zh-CN" w:bidi="ar-SA"/>
              </w:rPr>
              <w:t>和机遇评估分析表</w:t>
            </w:r>
            <w:r>
              <w:rPr>
                <w:rFonts w:hint="eastAsia" w:ascii="宋体" w:hAnsi="宋体" w:eastAsia="宋体" w:cs="宋体"/>
                <w:bCs w:val="0"/>
                <w:spacing w:val="0"/>
                <w:kern w:val="2"/>
                <w:sz w:val="21"/>
                <w:szCs w:val="21"/>
                <w:lang w:val="en-US" w:eastAsia="zh-CN" w:bidi="ar-SA"/>
              </w:rPr>
              <w:t>》，</w:t>
            </w:r>
            <w:r>
              <w:rPr>
                <w:rFonts w:hint="eastAsia" w:ascii="宋体" w:hAnsi="宋体" w:eastAsia="宋体" w:cs="宋体"/>
                <w:sz w:val="21"/>
                <w:szCs w:val="21"/>
                <w:lang w:val="en-US" w:eastAsia="zh-CN"/>
              </w:rPr>
              <w:t>针对公司现状，企业对各部门不同过程的风险及公共风险进行了识别并制定了对应的管理</w:t>
            </w:r>
            <w:r>
              <w:rPr>
                <w:rFonts w:hint="eastAsia" w:ascii="宋体" w:hAnsi="宋体" w:eastAsia="宋体" w:cs="宋体"/>
                <w:bCs w:val="0"/>
                <w:spacing w:val="0"/>
                <w:kern w:val="2"/>
                <w:sz w:val="21"/>
                <w:szCs w:val="21"/>
                <w:lang w:val="en-US" w:eastAsia="zh-CN" w:bidi="ar-SA"/>
              </w:rPr>
              <w:t>措施，规定了执行部门和实施负责人等要求。</w:t>
            </w:r>
          </w:p>
          <w:p>
            <w:pPr>
              <w:adjustRightInd w:val="0"/>
              <w:snapToGrid w:val="0"/>
              <w:spacing w:line="3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——抽风险1：供应商交付不及时或来料不符合要求；</w:t>
            </w:r>
          </w:p>
          <w:p>
            <w:pPr>
              <w:adjustRightInd w:val="0"/>
              <w:snapToGrid w:val="0"/>
              <w:spacing w:line="3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控制措施：1.采购员随时对订单进行跟踪，必须时到供应商现场确认；2.增加合格供应商，同样产品必须有两家以上的合格供应商。严重程度：严重；实施负责人：王鹏；措施有效性验证：措施有效；</w:t>
            </w:r>
          </w:p>
          <w:p>
            <w:pPr>
              <w:adjustRightInd w:val="0"/>
              <w:snapToGrid w:val="0"/>
              <w:spacing w:line="300" w:lineRule="exact"/>
              <w:jc w:val="left"/>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——抽风险2：环保、安全资金不到位；管理措施：根据公司环保、安全投入需要，制定资金使用计划;严重程度：严重；措施负责人：卢书杰；措施有效性验证：措施有效；</w:t>
            </w:r>
          </w:p>
          <w:p>
            <w:pPr>
              <w:adjustRightInd w:val="0"/>
              <w:snapToGrid w:val="0"/>
              <w:spacing w:line="3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——抽风险3：生产现场和仓库出现明火，企业受到损失；措施：严格执行相关消防制度，加强培训教育加强监督；措施实施负责人：周双；措施有效性验证：措施有效；</w:t>
            </w:r>
          </w:p>
          <w:p>
            <w:pPr>
              <w:adjustRightInd w:val="0"/>
              <w:snapToGrid w:val="0"/>
              <w:spacing w:line="300" w:lineRule="exact"/>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另查其他风险如：设备出现故障,影响交工期、本公司生产过程出现事故、防护制品生产方面的鼓励政策等，均制定了管理措施，落实了责任人，查对风险控制措施有效性进行了评价。均有效。</w:t>
            </w:r>
          </w:p>
          <w:p>
            <w:pPr>
              <w:adjustRightInd w:val="0"/>
              <w:snapToGrid w:val="0"/>
              <w:spacing w:line="300" w:lineRule="exact"/>
              <w:jc w:val="left"/>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评审人：王鹏、卢书杰、周双、高春明     评审日期：2022.1.5。</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相关措施由责任部门负责人进行跟踪实施和验证，查验均按要求执行。</w:t>
            </w:r>
          </w:p>
          <w:p>
            <w:pPr>
              <w:adjustRightInd w:val="0"/>
              <w:snapToGrid w:val="0"/>
              <w:spacing w:line="3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通过沟通，王总介绍了公司的发展机遇，该企业主要为整车厂配货，近些年，新能源汽车发展迅速，国家政策扶持，都给企业发展带来了机遇。同时，企业信誉良好，新厂区设备齐全，自动化程度较高，经验丰富，都为企业发展带来了良好机遇。王总介绍，计划加大安全环保力度，进一步扩大市场。</w:t>
            </w:r>
          </w:p>
          <w:p>
            <w:pPr>
              <w:adjustRightInd w:val="0"/>
              <w:snapToGrid w:val="0"/>
              <w:spacing w:line="300" w:lineRule="exact"/>
              <w:jc w:val="left"/>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风险和机遇控制</w:t>
            </w:r>
            <w:r>
              <w:rPr>
                <w:rFonts w:hint="eastAsia" w:ascii="宋体" w:hAnsi="宋体" w:eastAsia="宋体" w:cs="宋体"/>
                <w:sz w:val="21"/>
                <w:szCs w:val="21"/>
                <w:lang w:val="en-US" w:eastAsia="zh-CN"/>
              </w:rPr>
              <w:t>基本符合要求。风险和机遇已提交至管理评审。</w:t>
            </w:r>
          </w:p>
        </w:tc>
        <w:tc>
          <w:tcPr>
            <w:tcW w:w="1068" w:type="dxa"/>
          </w:tcPr>
          <w:p>
            <w:pPr>
              <w:adjustRightInd w:val="0"/>
              <w:snapToGrid w:val="0"/>
              <w:spacing w:line="300" w:lineRule="exact"/>
              <w:rPr>
                <w:rFonts w:hint="eastAsia" w:ascii="宋体" w:hAnsi="宋体" w:eastAsia="宋体" w:cs="宋体"/>
                <w:sz w:val="21"/>
                <w:szCs w:val="21"/>
                <w:lang w:val="en-US" w:eastAsia="zh-CN"/>
              </w:rPr>
            </w:pPr>
            <w:r>
              <w:rPr>
                <w:rFonts w:hint="eastAsia"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5" w:type="dxa"/>
            <w:vAlign w:val="center"/>
          </w:tcPr>
          <w:p>
            <w:pPr>
              <w:bidi w:val="0"/>
              <w:rPr>
                <w:rFonts w:hint="eastAsia" w:ascii="Times New Roman" w:hAnsi="Times New Roman" w:eastAsia="宋体" w:cs="Times New Roman"/>
                <w:kern w:val="2"/>
                <w:sz w:val="21"/>
                <w:szCs w:val="21"/>
                <w:lang w:val="en-US" w:eastAsia="zh-CN" w:bidi="ar-SA"/>
              </w:rPr>
            </w:pPr>
            <w:r>
              <w:rPr>
                <w:rFonts w:hint="eastAsia"/>
                <w:sz w:val="21"/>
                <w:szCs w:val="21"/>
              </w:rPr>
              <w:t>环境因素、危险源</w:t>
            </w:r>
          </w:p>
        </w:tc>
        <w:tc>
          <w:tcPr>
            <w:tcW w:w="1039" w:type="dxa"/>
            <w:vAlign w:val="center"/>
          </w:tcPr>
          <w:p>
            <w:pPr>
              <w:bidi w:val="0"/>
              <w:rPr>
                <w:rFonts w:hint="eastAsia"/>
                <w:sz w:val="21"/>
                <w:szCs w:val="21"/>
                <w:lang w:eastAsia="zh-CN"/>
              </w:rPr>
            </w:pPr>
            <w:r>
              <w:rPr>
                <w:rFonts w:hint="eastAsia"/>
                <w:sz w:val="21"/>
                <w:szCs w:val="21"/>
                <w:lang w:eastAsia="zh-CN"/>
              </w:rPr>
              <w:t>O</w:t>
            </w:r>
          </w:p>
          <w:p>
            <w:pPr>
              <w:bidi w:val="0"/>
              <w:rPr>
                <w:rFonts w:hint="eastAsia"/>
                <w:sz w:val="21"/>
                <w:szCs w:val="21"/>
                <w:lang w:val="en-US" w:eastAsia="zh-CN"/>
              </w:rPr>
            </w:pPr>
            <w:r>
              <w:rPr>
                <w:rFonts w:hint="eastAsia"/>
                <w:sz w:val="21"/>
                <w:szCs w:val="21"/>
              </w:rPr>
              <w:t>6.1.2</w:t>
            </w:r>
          </w:p>
          <w:p>
            <w:pPr>
              <w:bidi w:val="0"/>
              <w:rPr>
                <w:rFonts w:hint="eastAsia" w:ascii="Times New Roman" w:hAnsi="Times New Roman" w:eastAsia="宋体" w:cs="Times New Roman"/>
                <w:kern w:val="2"/>
                <w:sz w:val="21"/>
                <w:szCs w:val="21"/>
                <w:lang w:val="en-US" w:eastAsia="zh-CN" w:bidi="ar-SA"/>
              </w:rPr>
            </w:pPr>
          </w:p>
        </w:tc>
        <w:tc>
          <w:tcPr>
            <w:tcW w:w="1134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提供了《危险源辨识和风险评价记录》，分别对办公区和服务现场所涉及的环境因素和危险源进行了辨识和登记，其中主要有：电源线路老化、漏电或其他原因导致火灾的发生、交通事故、触电、摔伤</w:t>
            </w:r>
            <w:r>
              <w:rPr>
                <w:rFonts w:hint="eastAsia" w:asciiTheme="minorEastAsia" w:hAnsiTheme="minorEastAsia" w:eastAsiaTheme="minorEastAsia"/>
                <w:szCs w:val="21"/>
                <w:lang w:eastAsia="zh-CN"/>
              </w:rPr>
              <w:t>、传染病、物体打击</w:t>
            </w:r>
            <w:r>
              <w:rPr>
                <w:rFonts w:hint="eastAsia" w:asciiTheme="minorEastAsia" w:hAnsiTheme="minorEastAsia" w:eastAsiaTheme="minorEastAsia"/>
                <w:szCs w:val="21"/>
              </w:rPr>
              <w:t>等；</w:t>
            </w:r>
          </w:p>
          <w:p>
            <w:pPr>
              <w:rPr>
                <w:rFonts w:asciiTheme="minorEastAsia" w:hAnsiTheme="minorEastAsia" w:eastAsiaTheme="minorEastAsia"/>
                <w:szCs w:val="21"/>
              </w:rPr>
            </w:pPr>
            <w:r>
              <w:rPr>
                <w:rFonts w:hint="eastAsia" w:asciiTheme="minorEastAsia" w:hAnsiTheme="minorEastAsia" w:eastAsiaTheme="minorEastAsia"/>
                <w:szCs w:val="21"/>
              </w:rPr>
              <w:t>编制了《不可接受风险清单》，采用LEC定量评价法评价出不可接受风险为</w:t>
            </w:r>
            <w:r>
              <w:rPr>
                <w:rFonts w:asciiTheme="minorEastAsia" w:hAnsiTheme="minorEastAsia" w:eastAsiaTheme="minorEastAsia"/>
                <w:szCs w:val="21"/>
              </w:rPr>
              <w:t>火灾、触电</w:t>
            </w:r>
            <w:r>
              <w:rPr>
                <w:rFonts w:hint="eastAsia" w:asciiTheme="minorEastAsia" w:hAnsiTheme="minorEastAsia" w:eastAsiaTheme="minorEastAsia"/>
                <w:szCs w:val="21"/>
                <w:lang w:eastAsia="zh-CN"/>
              </w:rPr>
              <w:t>、机械伤害、高温烫伤、重大传染病</w:t>
            </w:r>
            <w:r>
              <w:rPr>
                <w:rFonts w:hint="eastAsia" w:asciiTheme="minorEastAsia" w:hAnsiTheme="minorEastAsia" w:eastAsiaTheme="minorEastAsia"/>
                <w:szCs w:val="21"/>
              </w:rPr>
              <w:t>。</w:t>
            </w:r>
          </w:p>
          <w:p>
            <w:pPr>
              <w:jc w:val="left"/>
              <w:rPr>
                <w:rFonts w:hint="eastAsia" w:ascii="Times New Roman" w:hAnsi="Times New Roman" w:eastAsia="宋体" w:cs="Times New Roman"/>
                <w:b w:val="0"/>
                <w:bCs w:val="0"/>
                <w:kern w:val="2"/>
                <w:sz w:val="21"/>
                <w:szCs w:val="21"/>
                <w:lang w:val="en-US" w:eastAsia="zh-CN" w:bidi="ar-SA"/>
              </w:rPr>
            </w:pPr>
            <w:r>
              <w:rPr>
                <w:rFonts w:hint="eastAsia" w:asciiTheme="minorEastAsia" w:hAnsiTheme="minorEastAsia" w:eastAsiaTheme="minorEastAsia"/>
                <w:szCs w:val="21"/>
              </w:rPr>
              <w:t>评价基本准确，详见各部门相关条款审核记录。</w:t>
            </w:r>
          </w:p>
        </w:tc>
        <w:tc>
          <w:tcPr>
            <w:tcW w:w="1068" w:type="dxa"/>
          </w:tcPr>
          <w:p>
            <w:pPr>
              <w:adjustRightInd w:val="0"/>
              <w:snapToGrid w:val="0"/>
              <w:spacing w:line="300" w:lineRule="exact"/>
              <w:rPr>
                <w:rFonts w:hint="eastAsia" w:ascii="宋体" w:hAnsi="宋体" w:eastAsia="宋体" w:cs="宋体"/>
                <w:sz w:val="21"/>
                <w:szCs w:val="21"/>
                <w:lang w:val="en-US" w:eastAsia="zh-CN"/>
              </w:rPr>
            </w:pPr>
            <w:r>
              <w:rPr>
                <w:rFonts w:hint="eastAsia"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5" w:type="dxa"/>
            <w:vAlign w:val="center"/>
          </w:tcPr>
          <w:p>
            <w:pPr>
              <w:bidi w:val="0"/>
              <w:rPr>
                <w:rFonts w:hint="eastAsia" w:ascii="Times New Roman" w:hAnsi="Times New Roman" w:eastAsia="宋体" w:cs="Times New Roman"/>
                <w:kern w:val="2"/>
                <w:sz w:val="21"/>
                <w:szCs w:val="21"/>
                <w:lang w:val="en-US" w:eastAsia="zh-CN" w:bidi="ar-SA"/>
              </w:rPr>
            </w:pPr>
            <w:r>
              <w:rPr>
                <w:rFonts w:hint="eastAsia"/>
                <w:sz w:val="21"/>
                <w:szCs w:val="21"/>
              </w:rPr>
              <w:t>合规性义务、法律法规要求</w:t>
            </w:r>
          </w:p>
        </w:tc>
        <w:tc>
          <w:tcPr>
            <w:tcW w:w="1039" w:type="dxa"/>
            <w:vAlign w:val="center"/>
          </w:tcPr>
          <w:p>
            <w:pPr>
              <w:bidi w:val="0"/>
              <w:rPr>
                <w:rFonts w:hint="eastAsia"/>
                <w:sz w:val="21"/>
                <w:szCs w:val="21"/>
                <w:lang w:eastAsia="zh-CN"/>
              </w:rPr>
            </w:pPr>
            <w:r>
              <w:rPr>
                <w:rFonts w:hint="eastAsia"/>
                <w:sz w:val="21"/>
                <w:szCs w:val="21"/>
                <w:lang w:eastAsia="zh-CN"/>
              </w:rPr>
              <w:t>O</w:t>
            </w:r>
          </w:p>
          <w:p>
            <w:pPr>
              <w:bidi w:val="0"/>
              <w:rPr>
                <w:rFonts w:hint="eastAsia" w:ascii="Times New Roman" w:hAnsi="Times New Roman" w:eastAsia="宋体" w:cs="Times New Roman"/>
                <w:kern w:val="2"/>
                <w:sz w:val="21"/>
                <w:szCs w:val="21"/>
                <w:lang w:val="en-US" w:eastAsia="zh-CN" w:bidi="ar-SA"/>
              </w:rPr>
            </w:pPr>
            <w:r>
              <w:rPr>
                <w:rFonts w:hint="eastAsia"/>
                <w:sz w:val="21"/>
                <w:szCs w:val="21"/>
              </w:rPr>
              <w:t>6.1.3</w:t>
            </w:r>
          </w:p>
        </w:tc>
        <w:tc>
          <w:tcPr>
            <w:tcW w:w="11348" w:type="dxa"/>
            <w:vAlign w:val="center"/>
          </w:tcPr>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为使公司管理体系运行合法有效、符合法律规定及相关方要求，</w:t>
            </w:r>
            <w:r>
              <w:rPr>
                <w:rFonts w:hint="eastAsia" w:cs="Times New Roman"/>
                <w:b w:val="0"/>
                <w:bCs w:val="0"/>
                <w:kern w:val="2"/>
                <w:sz w:val="21"/>
                <w:szCs w:val="21"/>
                <w:lang w:val="en-US" w:eastAsia="zh-CN" w:bidi="ar-SA"/>
              </w:rPr>
              <w:t>企业</w:t>
            </w:r>
            <w:r>
              <w:rPr>
                <w:rFonts w:hint="eastAsia" w:ascii="Times New Roman" w:hAnsi="Times New Roman" w:eastAsia="宋体" w:cs="Times New Roman"/>
                <w:b w:val="0"/>
                <w:bCs w:val="0"/>
                <w:kern w:val="2"/>
                <w:sz w:val="21"/>
                <w:szCs w:val="21"/>
                <w:lang w:val="en-US" w:eastAsia="zh-CN" w:bidi="ar-SA"/>
              </w:rPr>
              <w:t>编制了《法律法规</w:t>
            </w:r>
            <w:r>
              <w:rPr>
                <w:rFonts w:hint="eastAsia" w:cs="Times New Roman"/>
                <w:b w:val="0"/>
                <w:bCs w:val="0"/>
                <w:kern w:val="2"/>
                <w:sz w:val="21"/>
                <w:szCs w:val="21"/>
                <w:lang w:val="en-US" w:eastAsia="zh-CN" w:bidi="ar-SA"/>
              </w:rPr>
              <w:t>及</w:t>
            </w:r>
            <w:r>
              <w:rPr>
                <w:rFonts w:hint="eastAsia" w:ascii="Times New Roman" w:hAnsi="Times New Roman" w:eastAsia="宋体" w:cs="Times New Roman"/>
                <w:b w:val="0"/>
                <w:bCs w:val="0"/>
                <w:kern w:val="2"/>
                <w:sz w:val="21"/>
                <w:szCs w:val="21"/>
                <w:lang w:val="en-US" w:eastAsia="zh-CN" w:bidi="ar-SA"/>
              </w:rPr>
              <w:t>其他要求</w:t>
            </w:r>
            <w:r>
              <w:rPr>
                <w:rFonts w:hint="eastAsia" w:cs="Times New Roman"/>
                <w:b w:val="0"/>
                <w:bCs w:val="0"/>
                <w:kern w:val="2"/>
                <w:sz w:val="21"/>
                <w:szCs w:val="21"/>
                <w:lang w:val="en-US" w:eastAsia="zh-CN" w:bidi="ar-SA"/>
              </w:rPr>
              <w:t>管理</w:t>
            </w:r>
            <w:r>
              <w:rPr>
                <w:rFonts w:hint="eastAsia" w:ascii="Times New Roman" w:hAnsi="Times New Roman" w:eastAsia="宋体" w:cs="Times New Roman"/>
                <w:b w:val="0"/>
                <w:bCs w:val="0"/>
                <w:kern w:val="2"/>
                <w:sz w:val="21"/>
                <w:szCs w:val="21"/>
                <w:lang w:val="en-US" w:eastAsia="zh-CN" w:bidi="ar-SA"/>
              </w:rPr>
              <w:t>程序》，规定法律、法规及其他要求的范围、获取方法、确认及分发。</w:t>
            </w:r>
          </w:p>
          <w:p>
            <w:pPr>
              <w:jc w:val="left"/>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综合部</w:t>
            </w:r>
            <w:r>
              <w:rPr>
                <w:rFonts w:hint="eastAsia" w:ascii="Times New Roman" w:hAnsi="Times New Roman" w:eastAsia="宋体" w:cs="Times New Roman"/>
                <w:b w:val="0"/>
                <w:bCs w:val="0"/>
                <w:kern w:val="2"/>
                <w:sz w:val="21"/>
                <w:szCs w:val="21"/>
                <w:lang w:val="en-US" w:eastAsia="zh-CN" w:bidi="ar-SA"/>
              </w:rPr>
              <w:t>负责适用的产品和质量/环境/安全方面的法律法规的</w:t>
            </w:r>
            <w:r>
              <w:rPr>
                <w:rFonts w:hint="eastAsia" w:cs="Times New Roman"/>
                <w:b w:val="0"/>
                <w:bCs w:val="0"/>
                <w:kern w:val="2"/>
                <w:sz w:val="21"/>
                <w:szCs w:val="21"/>
                <w:lang w:val="en-US" w:eastAsia="zh-CN" w:bidi="ar-SA"/>
              </w:rPr>
              <w:t>汇总</w:t>
            </w:r>
            <w:r>
              <w:rPr>
                <w:rFonts w:hint="eastAsia" w:ascii="Times New Roman" w:hAnsi="Times New Roman" w:eastAsia="宋体" w:cs="Times New Roman"/>
                <w:b w:val="0"/>
                <w:bCs w:val="0"/>
                <w:kern w:val="2"/>
                <w:sz w:val="21"/>
                <w:szCs w:val="21"/>
                <w:lang w:val="en-US" w:eastAsia="zh-CN" w:bidi="ar-SA"/>
              </w:rPr>
              <w:t>和更新，并评价其适用性；</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提供</w:t>
            </w:r>
            <w:r>
              <w:rPr>
                <w:rFonts w:hint="eastAsia" w:cs="Times New Roman"/>
                <w:b w:val="0"/>
                <w:bCs w:val="0"/>
                <w:kern w:val="2"/>
                <w:sz w:val="21"/>
                <w:szCs w:val="21"/>
                <w:lang w:val="en-US" w:eastAsia="zh-CN" w:bidi="ar-SA"/>
              </w:rPr>
              <w:t>了《法律法规及标准清单》，识别并登记的适用的职业健康安全方面的法律法规有：</w:t>
            </w:r>
          </w:p>
          <w:p>
            <w:pPr>
              <w:rPr>
                <w:rFonts w:asciiTheme="minorEastAsia" w:hAnsiTheme="minorEastAsia" w:eastAsiaTheme="minorEastAsia"/>
                <w:szCs w:val="21"/>
              </w:rPr>
            </w:pPr>
            <w:r>
              <w:rPr>
                <w:rFonts w:hint="eastAsia" w:ascii="Times New Roman" w:hAnsi="Times New Roman" w:eastAsia="宋体" w:cs="Times New Roman"/>
                <w:b w:val="0"/>
                <w:bCs w:val="0"/>
                <w:kern w:val="2"/>
                <w:sz w:val="21"/>
                <w:szCs w:val="21"/>
                <w:lang w:val="en-US" w:eastAsia="zh-CN" w:bidi="ar-SA"/>
              </w:rPr>
              <w:t>中华人民共和国安全生产法、中华人民共和国道路交通安全法、中华人民共和国传染病防治法、</w:t>
            </w:r>
            <w:r>
              <w:rPr>
                <w:rFonts w:hint="eastAsia" w:asciiTheme="minorEastAsia" w:hAnsiTheme="minorEastAsia" w:eastAsiaTheme="minorEastAsia"/>
                <w:szCs w:val="21"/>
              </w:rPr>
              <w:t>中华人民共和国消防法</w:t>
            </w:r>
          </w:p>
          <w:p>
            <w:pPr>
              <w:rPr>
                <w:rFonts w:asciiTheme="minorEastAsia" w:hAnsiTheme="minorEastAsia" w:eastAsiaTheme="minorEastAsia"/>
                <w:szCs w:val="21"/>
              </w:rPr>
            </w:pPr>
            <w:r>
              <w:rPr>
                <w:rFonts w:hint="eastAsia" w:asciiTheme="minorEastAsia" w:hAnsiTheme="minorEastAsia" w:eastAsiaTheme="minorEastAsia"/>
                <w:szCs w:val="21"/>
              </w:rPr>
              <w:t>工作场所职业卫生监督管理规定</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企业职工伤亡事故调查分析规则</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突发公共卫生事件应急条例</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法律法规及其他要求在</w:t>
            </w:r>
            <w:r>
              <w:rPr>
                <w:rFonts w:hint="eastAsia" w:cs="Times New Roman"/>
                <w:b w:val="0"/>
                <w:bCs w:val="0"/>
                <w:kern w:val="2"/>
                <w:sz w:val="21"/>
                <w:szCs w:val="21"/>
                <w:lang w:val="en-US" w:eastAsia="zh-CN" w:bidi="ar-SA"/>
              </w:rPr>
              <w:t>综合部</w:t>
            </w:r>
            <w:r>
              <w:rPr>
                <w:rFonts w:hint="eastAsia" w:ascii="Times New Roman" w:hAnsi="Times New Roman" w:eastAsia="宋体" w:cs="Times New Roman"/>
                <w:b w:val="0"/>
                <w:bCs w:val="0"/>
                <w:kern w:val="2"/>
                <w:sz w:val="21"/>
                <w:szCs w:val="21"/>
                <w:lang w:val="en-US" w:eastAsia="zh-CN" w:bidi="ar-SA"/>
              </w:rPr>
              <w:t>存档一份，并已电子版的形式发到各部门电脑上。</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定期在网上查看法规的更新情况，目前均为最新版本。</w:t>
            </w:r>
          </w:p>
        </w:tc>
        <w:tc>
          <w:tcPr>
            <w:tcW w:w="1068" w:type="dxa"/>
          </w:tcPr>
          <w:p>
            <w:pPr>
              <w:adjustRightInd w:val="0"/>
              <w:snapToGrid w:val="0"/>
              <w:spacing w:line="300" w:lineRule="exact"/>
              <w:rPr>
                <w:rFonts w:hint="eastAsia" w:ascii="宋体" w:hAnsi="宋体" w:eastAsia="宋体" w:cs="宋体"/>
                <w:sz w:val="21"/>
                <w:szCs w:val="21"/>
                <w:lang w:val="en-US" w:eastAsia="zh-CN"/>
              </w:rPr>
            </w:pPr>
            <w:r>
              <w:rPr>
                <w:rFonts w:hint="eastAsia"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5" w:type="dxa"/>
            <w:vAlign w:val="center"/>
          </w:tcPr>
          <w:p>
            <w:pPr>
              <w:bidi w:val="0"/>
              <w:rPr>
                <w:rFonts w:hint="eastAsia" w:ascii="Times New Roman" w:hAnsi="Times New Roman" w:eastAsia="宋体" w:cs="Times New Roman"/>
                <w:kern w:val="2"/>
                <w:sz w:val="21"/>
                <w:szCs w:val="21"/>
                <w:lang w:val="en-US" w:eastAsia="zh-CN" w:bidi="ar-SA"/>
              </w:rPr>
            </w:pPr>
            <w:r>
              <w:rPr>
                <w:rFonts w:hint="eastAsia"/>
                <w:sz w:val="21"/>
                <w:szCs w:val="21"/>
              </w:rPr>
              <w:t>策划措施</w:t>
            </w:r>
          </w:p>
        </w:tc>
        <w:tc>
          <w:tcPr>
            <w:tcW w:w="1039" w:type="dxa"/>
            <w:vAlign w:val="center"/>
          </w:tcPr>
          <w:p>
            <w:pPr>
              <w:bidi w:val="0"/>
              <w:rPr>
                <w:rFonts w:hint="eastAsia"/>
                <w:sz w:val="21"/>
                <w:szCs w:val="21"/>
                <w:lang w:eastAsia="zh-CN"/>
              </w:rPr>
            </w:pPr>
            <w:r>
              <w:rPr>
                <w:rFonts w:hint="eastAsia"/>
                <w:sz w:val="21"/>
                <w:szCs w:val="21"/>
                <w:lang w:eastAsia="zh-CN"/>
              </w:rPr>
              <w:t>O</w:t>
            </w:r>
          </w:p>
          <w:p>
            <w:pPr>
              <w:bidi w:val="0"/>
              <w:rPr>
                <w:rFonts w:hint="eastAsia" w:ascii="Times New Roman" w:hAnsi="Times New Roman" w:eastAsia="宋体" w:cs="Times New Roman"/>
                <w:kern w:val="2"/>
                <w:sz w:val="21"/>
                <w:szCs w:val="21"/>
                <w:lang w:val="en-US" w:eastAsia="zh-CN" w:bidi="ar-SA"/>
              </w:rPr>
            </w:pPr>
            <w:r>
              <w:rPr>
                <w:rFonts w:hint="eastAsia"/>
                <w:sz w:val="21"/>
                <w:szCs w:val="21"/>
              </w:rPr>
              <w:t>6.1.4</w:t>
            </w:r>
          </w:p>
        </w:tc>
        <w:tc>
          <w:tcPr>
            <w:tcW w:w="11348" w:type="dxa"/>
            <w:vAlign w:val="center"/>
          </w:tcPr>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组织管理层策划关于开展管理体系中所采取措施，以便管理环境/安全目标、危险源、合规性义务、法律法规组织识别的风险等等。通过合规性评价、目标考核、运行方案、管理评审、内外部沟通等方式以保证管理体系达到预期结果。具体见各部门审核记录。</w:t>
            </w:r>
          </w:p>
        </w:tc>
        <w:tc>
          <w:tcPr>
            <w:tcW w:w="1068" w:type="dxa"/>
          </w:tcPr>
          <w:p>
            <w:pPr>
              <w:adjustRightInd w:val="0"/>
              <w:snapToGrid w:val="0"/>
              <w:spacing w:line="300" w:lineRule="exact"/>
              <w:rPr>
                <w:rFonts w:hint="eastAsia" w:ascii="宋体" w:hAnsi="宋体" w:eastAsia="宋体" w:cs="宋体"/>
                <w:sz w:val="21"/>
                <w:szCs w:val="21"/>
                <w:lang w:val="en-US" w:eastAsia="zh-CN"/>
              </w:rPr>
            </w:pPr>
            <w:r>
              <w:rPr>
                <w:rFonts w:hint="eastAsia"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545" w:type="dxa"/>
            <w:vAlign w:val="center"/>
          </w:tcPr>
          <w:p>
            <w:pPr>
              <w:bidi w:val="0"/>
              <w:rPr>
                <w:rFonts w:hint="eastAsia" w:ascii="宋体" w:hAnsi="宋体" w:eastAsia="宋体" w:cs="宋体"/>
                <w:sz w:val="21"/>
                <w:szCs w:val="21"/>
                <w:lang w:eastAsia="zh-CN"/>
              </w:rPr>
            </w:pPr>
            <w:r>
              <w:rPr>
                <w:rFonts w:hint="eastAsia"/>
                <w:sz w:val="21"/>
                <w:szCs w:val="21"/>
              </w:rPr>
              <w:t>目标</w:t>
            </w:r>
          </w:p>
        </w:tc>
        <w:tc>
          <w:tcPr>
            <w:tcW w:w="1039" w:type="dxa"/>
            <w:vAlign w:val="center"/>
          </w:tcPr>
          <w:p>
            <w:pPr>
              <w:bidi w:val="0"/>
              <w:rPr>
                <w:rFonts w:hint="eastAsia"/>
                <w:sz w:val="21"/>
                <w:szCs w:val="21"/>
                <w:lang w:eastAsia="zh-CN"/>
              </w:rPr>
            </w:pPr>
            <w:r>
              <w:rPr>
                <w:rFonts w:hint="eastAsia"/>
                <w:sz w:val="21"/>
                <w:szCs w:val="21"/>
                <w:lang w:eastAsia="zh-CN"/>
              </w:rPr>
              <w:t>O</w:t>
            </w:r>
          </w:p>
          <w:p>
            <w:pPr>
              <w:bidi w:val="0"/>
              <w:rPr>
                <w:rFonts w:hint="default" w:ascii="宋体" w:hAnsi="宋体" w:eastAsia="宋体" w:cs="宋体"/>
                <w:sz w:val="21"/>
                <w:szCs w:val="21"/>
                <w:lang w:val="en-US" w:eastAsia="zh-CN"/>
              </w:rPr>
            </w:pPr>
            <w:r>
              <w:rPr>
                <w:rFonts w:hint="eastAsia"/>
                <w:sz w:val="21"/>
                <w:szCs w:val="21"/>
              </w:rPr>
              <w:t>6.2</w:t>
            </w:r>
          </w:p>
        </w:tc>
        <w:tc>
          <w:tcPr>
            <w:tcW w:w="11348" w:type="dxa"/>
            <w:vAlign w:val="center"/>
          </w:tcPr>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●查《管理手册》明确了公司的管理目标：</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安全目标：</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无安全事故发生；</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职业伤害零发生。</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为确保以上目标的实现，制定了《目标指标及管理方案控制程序》，管理目标分解至各部门，制定了考核方法和考核频次。</w:t>
            </w:r>
          </w:p>
          <w:p>
            <w:pPr>
              <w:jc w:val="left"/>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提供目标考核记录，每季度进行一次目标完成情况的考核。从考核记录来看，2022年1-3季度均完成了目标考核。</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针对重要环境因素和不可接受风险，制定了环境/安全目标指标管理方案，有管理措施和资金投入，并定期检查管理方案落实情况，截至审核，各部门均完成了设定的目标。</w:t>
            </w:r>
          </w:p>
          <w:p>
            <w:pPr>
              <w:jc w:val="lef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详细情况见各部门审核记录。</w:t>
            </w:r>
          </w:p>
        </w:tc>
        <w:tc>
          <w:tcPr>
            <w:tcW w:w="1068" w:type="dxa"/>
          </w:tcPr>
          <w:p>
            <w:pPr>
              <w:adjustRightInd w:val="0"/>
              <w:snapToGrid w:val="0"/>
              <w:spacing w:line="300" w:lineRule="exact"/>
              <w:rPr>
                <w:rFonts w:hint="eastAsia" w:ascii="宋体" w:hAnsi="宋体" w:eastAsia="宋体" w:cs="宋体"/>
                <w:sz w:val="21"/>
                <w:szCs w:val="21"/>
                <w:lang w:val="en-US" w:eastAsia="zh-CN"/>
              </w:rPr>
            </w:pPr>
            <w:r>
              <w:rPr>
                <w:rFonts w:hint="eastAsia" w:ascii="Times New Roman" w:hAnsi="Times New Roman" w:eastAsia="宋体" w:cs="Times New Roman"/>
                <w:bCs w:val="0"/>
                <w:spacing w:val="0"/>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资源</w:t>
            </w:r>
          </w:p>
        </w:tc>
        <w:tc>
          <w:tcPr>
            <w:tcW w:w="1039" w:type="dxa"/>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O</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7.1</w:t>
            </w:r>
          </w:p>
        </w:tc>
        <w:tc>
          <w:tcPr>
            <w:tcW w:w="11348" w:type="dxa"/>
            <w:vAlign w:val="top"/>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公司确定并提供为建立、实施、保持和持续改进职业健康安全管理体系所需的资源。</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人力资源：目前职工人数</w:t>
            </w:r>
            <w:r>
              <w:rPr>
                <w:rFonts w:hint="eastAsia" w:ascii="宋体" w:hAnsi="宋体" w:cs="宋体"/>
                <w:sz w:val="21"/>
                <w:szCs w:val="21"/>
                <w:lang w:val="en-US" w:eastAsia="zh-CN"/>
              </w:rPr>
              <w:t>25</w:t>
            </w:r>
            <w:r>
              <w:rPr>
                <w:rFonts w:hint="eastAsia" w:ascii="宋体" w:hAnsi="宋体" w:eastAsia="宋体" w:cs="宋体"/>
                <w:sz w:val="21"/>
                <w:szCs w:val="21"/>
                <w:lang w:val="en-US" w:eastAsia="zh-CN"/>
              </w:rPr>
              <w:t>人。</w:t>
            </w:r>
            <w:r>
              <w:rPr>
                <w:rFonts w:hint="eastAsia" w:ascii="宋体" w:hAnsi="宋体" w:cs="宋体"/>
                <w:sz w:val="21"/>
                <w:szCs w:val="21"/>
                <w:lang w:val="en-US" w:eastAsia="zh-CN"/>
              </w:rPr>
              <w:t>人员教育水平较高，技术实力扎实</w:t>
            </w:r>
            <w:r>
              <w:rPr>
                <w:rFonts w:hint="eastAsia" w:ascii="宋体" w:hAnsi="宋体" w:eastAsia="宋体" w:cs="宋体"/>
                <w:sz w:val="21"/>
                <w:szCs w:val="21"/>
                <w:lang w:val="en-US" w:eastAsia="zh-CN"/>
              </w:rPr>
              <w:t>。</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基础设施：现场巡视，</w:t>
            </w:r>
            <w:r>
              <w:rPr>
                <w:rFonts w:hint="eastAsia" w:ascii="宋体" w:hAnsi="宋体" w:cs="宋体"/>
                <w:sz w:val="21"/>
                <w:szCs w:val="21"/>
                <w:lang w:val="en-US" w:eastAsia="zh-CN"/>
              </w:rPr>
              <w:t>企业位于河北省沧县兴济镇北桃杏村，总建筑面积约4500平，办公楼一座2层，配有会客室，休息室，办公室，经理室，展厅，</w:t>
            </w:r>
            <w:r>
              <w:rPr>
                <w:rFonts w:hint="eastAsia" w:ascii="宋体" w:hAnsi="宋体" w:eastAsia="宋体" w:cs="宋体"/>
                <w:sz w:val="21"/>
                <w:szCs w:val="21"/>
                <w:lang w:val="en-US" w:eastAsia="zh-CN"/>
              </w:rPr>
              <w:t>整体环境良好，干净整洁。</w:t>
            </w:r>
          </w:p>
          <w:p>
            <w:pPr>
              <w:adjustRightInd w:val="0"/>
              <w:snapToGrid w:val="0"/>
              <w:spacing w:line="3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现场查看</w:t>
            </w:r>
            <w:r>
              <w:rPr>
                <w:rFonts w:hint="eastAsia" w:ascii="宋体" w:hAnsi="宋体" w:cs="宋体"/>
                <w:sz w:val="21"/>
                <w:szCs w:val="21"/>
                <w:lang w:val="en-US" w:eastAsia="zh-CN"/>
              </w:rPr>
              <w:t>生产设施上安装有警报装置和急停按钮。</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车间和办公区楼道内配有灭火器，现场查看均在有效期压力范围内。</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定期为员工发放口罩、手套、和</w:t>
            </w:r>
            <w:r>
              <w:rPr>
                <w:rFonts w:hint="eastAsia" w:ascii="宋体" w:hAnsi="宋体" w:cs="宋体"/>
                <w:sz w:val="21"/>
                <w:szCs w:val="21"/>
                <w:lang w:val="en-US" w:eastAsia="zh-CN"/>
              </w:rPr>
              <w:t>医用酒精等劳保</w:t>
            </w:r>
            <w:r>
              <w:rPr>
                <w:rFonts w:hint="eastAsia" w:ascii="宋体" w:hAnsi="宋体" w:eastAsia="宋体" w:cs="宋体"/>
                <w:sz w:val="21"/>
                <w:szCs w:val="21"/>
                <w:lang w:val="en-US" w:eastAsia="zh-CN"/>
              </w:rPr>
              <w:t>用品。配置了测温仪，消毒液等防疫用品。</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水电供应由</w:t>
            </w:r>
            <w:r>
              <w:rPr>
                <w:rFonts w:hint="eastAsia" w:ascii="宋体" w:hAnsi="宋体" w:cs="宋体"/>
                <w:sz w:val="21"/>
                <w:szCs w:val="21"/>
                <w:lang w:val="en-US" w:eastAsia="zh-CN"/>
              </w:rPr>
              <w:t>综合部</w:t>
            </w:r>
            <w:r>
              <w:rPr>
                <w:rFonts w:hint="eastAsia" w:ascii="宋体" w:hAnsi="宋体" w:eastAsia="宋体" w:cs="宋体"/>
                <w:sz w:val="21"/>
                <w:szCs w:val="21"/>
                <w:lang w:val="en-US" w:eastAsia="zh-CN"/>
              </w:rPr>
              <w:t>负责</w:t>
            </w:r>
            <w:r>
              <w:rPr>
                <w:rFonts w:hint="eastAsia" w:ascii="宋体" w:hAnsi="宋体" w:cs="宋体"/>
                <w:sz w:val="21"/>
                <w:szCs w:val="21"/>
                <w:lang w:val="en-US" w:eastAsia="zh-CN"/>
              </w:rPr>
              <w:t>。</w:t>
            </w:r>
          </w:p>
          <w:p>
            <w:pPr>
              <w:adjustRightInd w:val="0"/>
              <w:snapToGrid w:val="0"/>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各种废弃物的</w:t>
            </w:r>
            <w:r>
              <w:rPr>
                <w:rFonts w:hint="eastAsia" w:ascii="宋体" w:hAnsi="宋体" w:cs="宋体"/>
                <w:sz w:val="21"/>
                <w:szCs w:val="21"/>
                <w:lang w:val="en-US" w:eastAsia="zh-CN"/>
              </w:rPr>
              <w:t>分类处置</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综合部</w:t>
            </w:r>
            <w:r>
              <w:rPr>
                <w:rFonts w:hint="eastAsia" w:ascii="宋体" w:hAnsi="宋体" w:eastAsia="宋体" w:cs="宋体"/>
                <w:sz w:val="21"/>
                <w:szCs w:val="21"/>
                <w:lang w:val="en-US" w:eastAsia="zh-CN"/>
              </w:rPr>
              <w:t>负责监督检查。</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管理评审</w:t>
            </w:r>
          </w:p>
        </w:tc>
        <w:tc>
          <w:tcPr>
            <w:tcW w:w="1039" w:type="dxa"/>
          </w:tcPr>
          <w:p>
            <w:pPr>
              <w:adjustRightInd w:val="0"/>
              <w:snapToGrid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w:t>
            </w:r>
          </w:p>
          <w:p>
            <w:pPr>
              <w:pStyle w:val="6"/>
              <w:rPr>
                <w:rFonts w:hint="eastAsia" w:ascii="宋体" w:hAnsi="宋体" w:eastAsia="宋体" w:cs="宋体"/>
                <w:sz w:val="21"/>
                <w:szCs w:val="21"/>
                <w:lang w:val="en-US"/>
              </w:rPr>
            </w:pPr>
            <w:r>
              <w:rPr>
                <w:rFonts w:hint="eastAsia" w:ascii="宋体" w:hAnsi="宋体" w:eastAsia="宋体" w:cs="宋体"/>
                <w:sz w:val="21"/>
                <w:szCs w:val="21"/>
                <w:lang w:val="en-US" w:eastAsia="zh-CN"/>
              </w:rPr>
              <w:t>9.3</w:t>
            </w:r>
          </w:p>
        </w:tc>
        <w:tc>
          <w:tcPr>
            <w:tcW w:w="11348" w:type="dxa"/>
            <w:vAlign w:val="top"/>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●编制并</w:t>
            </w:r>
            <w:r>
              <w:rPr>
                <w:rFonts w:hint="eastAsia" w:ascii="宋体" w:hAnsi="宋体" w:eastAsia="宋体" w:cs="宋体"/>
                <w:sz w:val="21"/>
                <w:szCs w:val="21"/>
                <w:lang w:val="en-US" w:eastAsia="zh-CN"/>
              </w:rPr>
              <w:t>执行</w:t>
            </w:r>
            <w:r>
              <w:rPr>
                <w:rFonts w:hint="eastAsia" w:ascii="宋体" w:hAnsi="宋体" w:cs="宋体"/>
                <w:sz w:val="21"/>
                <w:szCs w:val="21"/>
                <w:lang w:val="en-US" w:eastAsia="zh-CN"/>
              </w:rPr>
              <w:t>公司</w:t>
            </w:r>
            <w:r>
              <w:rPr>
                <w:rFonts w:hint="eastAsia" w:ascii="宋体" w:hAnsi="宋体" w:eastAsia="宋体" w:cs="宋体"/>
                <w:sz w:val="21"/>
                <w:szCs w:val="21"/>
                <w:lang w:val="en-US" w:eastAsia="zh-CN"/>
              </w:rPr>
              <w:t>《管理评审</w:t>
            </w:r>
            <w:r>
              <w:rPr>
                <w:rFonts w:hint="eastAsia" w:ascii="宋体" w:hAnsi="宋体" w:cs="宋体"/>
                <w:sz w:val="21"/>
                <w:szCs w:val="21"/>
                <w:lang w:val="en-US" w:eastAsia="zh-CN"/>
              </w:rPr>
              <w:t>控制</w:t>
            </w:r>
            <w:r>
              <w:rPr>
                <w:rFonts w:hint="eastAsia" w:ascii="宋体" w:hAnsi="宋体" w:eastAsia="宋体" w:cs="宋体"/>
                <w:sz w:val="21"/>
                <w:szCs w:val="21"/>
                <w:lang w:val="en-US" w:eastAsia="zh-CN"/>
              </w:rPr>
              <w:t>程序》，按程序要求进行管理评审，</w:t>
            </w:r>
            <w:r>
              <w:rPr>
                <w:rFonts w:hint="eastAsia" w:ascii="宋体" w:hAnsi="宋体" w:cs="宋体"/>
                <w:sz w:val="21"/>
                <w:szCs w:val="21"/>
                <w:lang w:val="en-US" w:eastAsia="zh-CN"/>
              </w:rPr>
              <w:t>每年至少一次</w:t>
            </w:r>
            <w:r>
              <w:rPr>
                <w:rFonts w:hint="eastAsia" w:ascii="宋体" w:hAnsi="宋体" w:eastAsia="宋体" w:cs="宋体"/>
                <w:sz w:val="21"/>
                <w:szCs w:val="21"/>
                <w:lang w:val="en-US" w:eastAsia="zh-CN"/>
              </w:rPr>
              <w:t>，总经理主持。</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w:t>
            </w:r>
            <w:r>
              <w:rPr>
                <w:rFonts w:hint="eastAsia" w:ascii="宋体" w:hAnsi="宋体" w:cs="宋体"/>
                <w:sz w:val="21"/>
                <w:szCs w:val="21"/>
                <w:lang w:val="en-US" w:eastAsia="zh-CN"/>
              </w:rPr>
              <w:t>企业策划并于2022年7月30日开展了管理管理评审</w:t>
            </w:r>
            <w:r>
              <w:rPr>
                <w:rFonts w:hint="eastAsia" w:ascii="宋体" w:hAnsi="宋体" w:eastAsia="宋体" w:cs="宋体"/>
                <w:sz w:val="21"/>
                <w:szCs w:val="21"/>
                <w:lang w:val="en-US" w:eastAsia="zh-CN"/>
              </w:rPr>
              <w:t>，提供了管理评审的通知</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管理评审计划</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管理评审会议签到表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管理评审会议记录、管理体系运行报告、管理评审报告、管理评审结果跟踪记录。</w:t>
            </w:r>
          </w:p>
          <w:p>
            <w:pPr>
              <w:adjustRightInd w:val="0"/>
              <w:snapToGrid w:val="0"/>
              <w:spacing w:line="30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1.查《管理评审计划》，划明确了管理评审目的、依据、参加评审的人员、评审的内容等。编制：卢书杰  批准：王鹏      2022.7.22</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2.按计划策划的时间，在公司会议室由总经理主持召开主持了管理评审。</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提供了管理评审会议记录，会议记录有各部门签到，提供了管理者代表做的管理体系运行情况报告及各部门领导所做的本部门体系运行工作汇报。</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管理评审内容包括：公司目标的适宜性，公司资源配置是否得当，是否能够满足的目标和要求。危险源辨识、评价、控制和环境因素识别、评价、控制是否适宜，现行的控制措施是否有效，相关方的投诉以及顾客投诉建议以及其他要求，法律法规以及其他要求的符合性状况等方面，管理评审输入较全面。</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查看各部门体系运行报告，包括本部门工作情况，目标指标完成情况，内审情况等方面。</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3、查《管理评审报告》，评审结论：通过管理评审说明我公司的质量、环境、职业健康安全管理体系的运行是适宜的、充分的和有效的。</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4.管理评审提出改进决议：由综合部组织施对全体员工法律法规的教育</w:t>
            </w:r>
          </w:p>
          <w:p>
            <w:pPr>
              <w:adjustRightInd w:val="0"/>
              <w:snapToGrid w:val="0"/>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编制了《改进计划》，制定了改进措施，针对管理评审提出的改进意见，组织了培训，</w:t>
            </w:r>
            <w:r>
              <w:rPr>
                <w:rFonts w:hint="eastAsia" w:ascii="宋体" w:hAnsi="宋体" w:cs="宋体"/>
                <w:sz w:val="21"/>
                <w:szCs w:val="21"/>
                <w:lang w:val="en-US" w:eastAsia="zh-CN"/>
              </w:rPr>
              <w:t>提供了培训记录，</w:t>
            </w:r>
            <w:r>
              <w:rPr>
                <w:rFonts w:hint="eastAsia" w:ascii="宋体" w:hAnsi="宋体" w:eastAsia="宋体" w:cs="宋体"/>
                <w:sz w:val="21"/>
                <w:szCs w:val="21"/>
                <w:lang w:val="en-US" w:eastAsia="zh-CN"/>
              </w:rPr>
              <w:t>管理评审提出的改进措施已培训完成</w:t>
            </w:r>
            <w:r>
              <w:rPr>
                <w:rFonts w:hint="eastAsia" w:ascii="宋体" w:hAnsi="宋体" w:cs="宋体"/>
                <w:sz w:val="21"/>
                <w:szCs w:val="21"/>
                <w:lang w:val="en-US" w:eastAsia="zh-CN"/>
              </w:rPr>
              <w:t>。</w:t>
            </w:r>
          </w:p>
        </w:tc>
        <w:tc>
          <w:tcPr>
            <w:tcW w:w="1068" w:type="dxa"/>
          </w:tcPr>
          <w:p>
            <w:pPr>
              <w:adjustRightInd w:val="0"/>
              <w:snapToGrid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45"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持续改进</w:t>
            </w:r>
          </w:p>
        </w:tc>
        <w:tc>
          <w:tcPr>
            <w:tcW w:w="1039" w:type="dxa"/>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O</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10.1</w:t>
            </w:r>
          </w:p>
          <w:p>
            <w:pPr>
              <w:adjustRightInd w:val="0"/>
              <w:snapToGrid w:val="0"/>
              <w:spacing w:line="300" w:lineRule="exact"/>
              <w:rPr>
                <w:rFonts w:hint="eastAsia" w:ascii="宋体" w:hAnsi="宋体" w:eastAsia="宋体" w:cs="宋体"/>
                <w:sz w:val="21"/>
                <w:szCs w:val="21"/>
              </w:rPr>
            </w:pPr>
          </w:p>
        </w:tc>
        <w:tc>
          <w:tcPr>
            <w:tcW w:w="11348" w:type="dxa"/>
            <w:vAlign w:val="center"/>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企业通过建立管理方针、管理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企业充分识别和评价存在的改进机会，以持续满足顾客和相关方要求改进的方法措施包括：</w:t>
            </w:r>
          </w:p>
          <w:p>
            <w:pPr>
              <w:adjustRightInd w:val="0"/>
              <w:snapToGrid w:val="0"/>
              <w:spacing w:line="3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1）引导创新、修改和改进现有过程或实施新过程的突破项目；</w:t>
            </w:r>
          </w:p>
          <w:p>
            <w:pPr>
              <w:adjustRightInd w:val="0"/>
              <w:snapToGrid w:val="0"/>
              <w:spacing w:line="3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2）在现有过程中开展渐进、持续的改进活动；</w:t>
            </w:r>
          </w:p>
          <w:p>
            <w:pPr>
              <w:adjustRightInd w:val="0"/>
              <w:snapToGrid w:val="0"/>
              <w:spacing w:line="3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3）纠正所存在不符合的原因等。</w:t>
            </w:r>
          </w:p>
        </w:tc>
        <w:tc>
          <w:tcPr>
            <w:tcW w:w="1068" w:type="dxa"/>
          </w:tcPr>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45" w:type="dxa"/>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预防和纠正措施</w:t>
            </w:r>
          </w:p>
        </w:tc>
        <w:tc>
          <w:tcPr>
            <w:tcW w:w="1039" w:type="dxa"/>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O</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10.3</w:t>
            </w:r>
          </w:p>
        </w:tc>
        <w:tc>
          <w:tcPr>
            <w:tcW w:w="11348" w:type="dxa"/>
            <w:vAlign w:val="center"/>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cs="宋体"/>
                <w:sz w:val="21"/>
                <w:szCs w:val="21"/>
                <w:lang w:val="en-US" w:eastAsia="zh-CN"/>
              </w:rPr>
              <w:t>查企业编制了《纠正措施控制程序》，</w:t>
            </w:r>
            <w:r>
              <w:rPr>
                <w:rFonts w:hint="eastAsia" w:ascii="宋体" w:hAnsi="宋体" w:eastAsia="宋体" w:cs="宋体"/>
                <w:sz w:val="21"/>
                <w:szCs w:val="21"/>
                <w:lang w:val="en-US" w:eastAsia="zh-CN"/>
              </w:rPr>
              <w:t>并通过内审、管理评审、分析和评价、纠正和纠正措施、管理方针和管理目标等有关信息来源来实现对管理体系的持续改进，同时通过日常运行中发现的问题及时调整解决，以达到持续改进管理体系的目的，以提升职业健康安全管理体系绩效。</w:t>
            </w:r>
          </w:p>
          <w:p>
            <w:pPr>
              <w:adjustRightInd w:val="0"/>
              <w:snapToGrid w:val="0"/>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日常监视和测量过程中发现的不合格、不符合要求相关责任部门及时制定相应的改进、纠正和纠正措施，以实现管理体系的持续改进。</w:t>
            </w:r>
          </w:p>
        </w:tc>
        <w:tc>
          <w:tcPr>
            <w:tcW w:w="1068" w:type="dxa"/>
          </w:tcPr>
          <w:p>
            <w:pPr>
              <w:adjustRightInd w:val="0"/>
              <w:snapToGrid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45" w:type="dxa"/>
            <w:vAlign w:val="center"/>
          </w:tcPr>
          <w:p>
            <w:pPr>
              <w:adjustRightInd w:val="0"/>
              <w:snapToGrid w:val="0"/>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范围的确认、资质的确认、法律法规执行情况、质量抽查及顾客投诉情况、一阶段不符合验证</w:t>
            </w:r>
          </w:p>
        </w:tc>
        <w:tc>
          <w:tcPr>
            <w:tcW w:w="1039" w:type="dxa"/>
            <w:vAlign w:val="center"/>
          </w:tcPr>
          <w:p>
            <w:pPr>
              <w:adjustRightInd w:val="0"/>
              <w:snapToGrid w:val="0"/>
              <w:spacing w:line="300" w:lineRule="exact"/>
              <w:rPr>
                <w:rFonts w:hint="eastAsia" w:ascii="宋体" w:hAnsi="宋体" w:eastAsia="宋体" w:cs="宋体"/>
                <w:sz w:val="21"/>
                <w:szCs w:val="21"/>
              </w:rPr>
            </w:pPr>
          </w:p>
        </w:tc>
        <w:tc>
          <w:tcPr>
            <w:tcW w:w="11348" w:type="dxa"/>
            <w:vAlign w:val="center"/>
          </w:tcPr>
          <w:p>
            <w:pPr>
              <w:adjustRightInd w:val="0"/>
              <w:snapToGrid w:val="0"/>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范围的确认：见4.3条款审核记录，符合要求</w:t>
            </w:r>
          </w:p>
          <w:p>
            <w:pPr>
              <w:adjustRightInd w:val="0"/>
              <w:snapToGrid w:val="0"/>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资质的确认：见4.1条款审核记录，符合要求</w:t>
            </w:r>
          </w:p>
          <w:p>
            <w:pPr>
              <w:adjustRightInd w:val="0"/>
              <w:snapToGrid w:val="0"/>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法律法规执行情况：进行了合规性评价，符合要求；</w:t>
            </w:r>
          </w:p>
          <w:p>
            <w:pPr>
              <w:adjustRightInd w:val="0"/>
              <w:snapToGrid w:val="0"/>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质量抽查及顾客投诉情况：经询问自公司成立以来未发生过质量、安全和环境事故</w:t>
            </w:r>
            <w:r>
              <w:rPr>
                <w:rFonts w:hint="eastAsia" w:ascii="宋体" w:hAnsi="宋体" w:cs="宋体"/>
                <w:sz w:val="21"/>
                <w:szCs w:val="21"/>
                <w:lang w:val="en-US" w:eastAsia="zh-CN"/>
              </w:rPr>
              <w:t>，未发生过顾客和相关方投诉。</w:t>
            </w:r>
          </w:p>
          <w:p>
            <w:pPr>
              <w:adjustRightInd w:val="0"/>
              <w:snapToGrid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一阶段不符合验证：文审提出的不符合，已整改</w:t>
            </w:r>
          </w:p>
        </w:tc>
        <w:tc>
          <w:tcPr>
            <w:tcW w:w="1068" w:type="dxa"/>
          </w:tcPr>
          <w:p>
            <w:pPr>
              <w:adjustRightInd w:val="0"/>
              <w:snapToGrid w:val="0"/>
              <w:spacing w:line="300" w:lineRule="exact"/>
              <w:rPr>
                <w:rFonts w:hint="eastAsia" w:ascii="宋体" w:hAnsi="宋体" w:eastAsia="宋体" w:cs="宋体"/>
                <w:sz w:val="21"/>
                <w:szCs w:val="21"/>
                <w:lang w:val="en-US" w:eastAsia="zh-CN"/>
              </w:rPr>
            </w:pPr>
          </w:p>
        </w:tc>
      </w:tr>
    </w:tbl>
    <w:p>
      <w:pPr>
        <w:pStyle w:val="10"/>
        <w:rPr>
          <w:rFonts w:hint="eastAsia" w:eastAsia="宋体"/>
          <w:lang w:eastAsia="zh-CN"/>
        </w:rPr>
      </w:pPr>
      <w:r>
        <w:rPr>
          <w:rFonts w:hint="eastAsia"/>
          <w:lang w:eastAsia="zh-CN"/>
        </w:rPr>
        <w:t>注：不符合标注“</w:t>
      </w:r>
      <w:r>
        <w:rPr>
          <w:rFonts w:hint="eastAsia"/>
          <w:lang w:val="en-US" w:eastAsia="zh-CN"/>
        </w:rPr>
        <w:t>N</w:t>
      </w:r>
      <w:r>
        <w:rPr>
          <w:rFonts w:hint="eastAsia"/>
          <w:lang w:eastAsia="zh-CN"/>
        </w:rPr>
        <w:t>”</w:t>
      </w:r>
    </w:p>
    <w:p>
      <w:pPr>
        <w:pStyle w:val="10"/>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3"/>
        <w:rFonts w:hint="default"/>
      </w:rPr>
      <w:t>北京国标联合认证有限公司</w:t>
    </w:r>
    <w:r>
      <w:rPr>
        <w:rStyle w:val="23"/>
        <w:rFonts w:hint="default"/>
      </w:rPr>
      <w:tab/>
    </w:r>
    <w:r>
      <w:rPr>
        <w:rStyle w:val="23"/>
        <w:rFonts w:hint="default"/>
      </w:rPr>
      <w:tab/>
    </w:r>
    <w:r>
      <w:rPr>
        <w:rStyle w:val="23"/>
        <w:rFonts w:hint="default"/>
      </w:rPr>
      <w:tab/>
    </w:r>
  </w:p>
  <w:p>
    <w:pPr>
      <w:pStyle w:val="11"/>
      <w:pBdr>
        <w:bottom w:val="none" w:color="auto" w:sz="0" w:space="0"/>
      </w:pBdr>
      <w:spacing w:line="320" w:lineRule="exact"/>
      <w:ind w:firstLine="756" w:firstLineChars="400"/>
      <w:jc w:val="left"/>
    </w:pPr>
    <w:r>
      <w:rPr>
        <w:rStyle w:val="2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TFkYjFhYjNiNjIyOTkyMTY0NmZjZDIxZWNjMDcifQ=="/>
  </w:docVars>
  <w:rsids>
    <w:rsidRoot w:val="00000000"/>
    <w:rsid w:val="001F1D2C"/>
    <w:rsid w:val="005714C6"/>
    <w:rsid w:val="00C366ED"/>
    <w:rsid w:val="00E54D24"/>
    <w:rsid w:val="011078C7"/>
    <w:rsid w:val="013E61E2"/>
    <w:rsid w:val="015B3238"/>
    <w:rsid w:val="018362EB"/>
    <w:rsid w:val="01B25E8C"/>
    <w:rsid w:val="01D11448"/>
    <w:rsid w:val="022E31E6"/>
    <w:rsid w:val="0233386D"/>
    <w:rsid w:val="02445A7A"/>
    <w:rsid w:val="025B2DC4"/>
    <w:rsid w:val="0261662C"/>
    <w:rsid w:val="028D1F0F"/>
    <w:rsid w:val="02E35293"/>
    <w:rsid w:val="032000D3"/>
    <w:rsid w:val="03367AB9"/>
    <w:rsid w:val="038D16A3"/>
    <w:rsid w:val="03A013D6"/>
    <w:rsid w:val="03C54999"/>
    <w:rsid w:val="03D4003A"/>
    <w:rsid w:val="03E65F01"/>
    <w:rsid w:val="0416753B"/>
    <w:rsid w:val="04333FF8"/>
    <w:rsid w:val="049D3B67"/>
    <w:rsid w:val="053472A6"/>
    <w:rsid w:val="056401E1"/>
    <w:rsid w:val="05C375FE"/>
    <w:rsid w:val="05DD06BF"/>
    <w:rsid w:val="0607573C"/>
    <w:rsid w:val="060F639F"/>
    <w:rsid w:val="06420522"/>
    <w:rsid w:val="0677779A"/>
    <w:rsid w:val="068C3E93"/>
    <w:rsid w:val="06E810D0"/>
    <w:rsid w:val="07035F04"/>
    <w:rsid w:val="07103A46"/>
    <w:rsid w:val="071D5765"/>
    <w:rsid w:val="07A656A9"/>
    <w:rsid w:val="07C66F31"/>
    <w:rsid w:val="08513A4A"/>
    <w:rsid w:val="085F360E"/>
    <w:rsid w:val="085F70C6"/>
    <w:rsid w:val="087D5842"/>
    <w:rsid w:val="08D15069"/>
    <w:rsid w:val="092A7093"/>
    <w:rsid w:val="096E7880"/>
    <w:rsid w:val="09EC5038"/>
    <w:rsid w:val="09ED2377"/>
    <w:rsid w:val="09F204B1"/>
    <w:rsid w:val="0A1E12A6"/>
    <w:rsid w:val="0A5E78F5"/>
    <w:rsid w:val="0A746972"/>
    <w:rsid w:val="0AC77248"/>
    <w:rsid w:val="0AD96F7B"/>
    <w:rsid w:val="0B04618C"/>
    <w:rsid w:val="0B112BB9"/>
    <w:rsid w:val="0B2C17A1"/>
    <w:rsid w:val="0B446AEB"/>
    <w:rsid w:val="0B6131F9"/>
    <w:rsid w:val="0B71273B"/>
    <w:rsid w:val="0B7373D0"/>
    <w:rsid w:val="0C8319A6"/>
    <w:rsid w:val="0C85560D"/>
    <w:rsid w:val="0CAA5073"/>
    <w:rsid w:val="0CD520F0"/>
    <w:rsid w:val="0CEC1C98"/>
    <w:rsid w:val="0D026C5D"/>
    <w:rsid w:val="0D352B8F"/>
    <w:rsid w:val="0D38442D"/>
    <w:rsid w:val="0DC363ED"/>
    <w:rsid w:val="0DEB76F2"/>
    <w:rsid w:val="0E8B182E"/>
    <w:rsid w:val="0E9C09EC"/>
    <w:rsid w:val="0E9E29B6"/>
    <w:rsid w:val="0EAC1011"/>
    <w:rsid w:val="0ED63EFE"/>
    <w:rsid w:val="0F1551DF"/>
    <w:rsid w:val="0F364782"/>
    <w:rsid w:val="0F713C26"/>
    <w:rsid w:val="0F7727F0"/>
    <w:rsid w:val="0FBA3760"/>
    <w:rsid w:val="0FF24D67"/>
    <w:rsid w:val="0FFD54BA"/>
    <w:rsid w:val="1070092E"/>
    <w:rsid w:val="10C009C2"/>
    <w:rsid w:val="11052B5A"/>
    <w:rsid w:val="11063C09"/>
    <w:rsid w:val="1122167C"/>
    <w:rsid w:val="115777AD"/>
    <w:rsid w:val="115832F0"/>
    <w:rsid w:val="117614BA"/>
    <w:rsid w:val="11D05FB9"/>
    <w:rsid w:val="11D32976"/>
    <w:rsid w:val="121E0096"/>
    <w:rsid w:val="12582E7C"/>
    <w:rsid w:val="126F08F1"/>
    <w:rsid w:val="12E76701"/>
    <w:rsid w:val="12F554FB"/>
    <w:rsid w:val="13071667"/>
    <w:rsid w:val="132C0590"/>
    <w:rsid w:val="1424261C"/>
    <w:rsid w:val="142B6A9A"/>
    <w:rsid w:val="14BC7381"/>
    <w:rsid w:val="14DC2CD6"/>
    <w:rsid w:val="15086DDB"/>
    <w:rsid w:val="1540591D"/>
    <w:rsid w:val="157D1577"/>
    <w:rsid w:val="1585667E"/>
    <w:rsid w:val="15923292"/>
    <w:rsid w:val="15AF7257"/>
    <w:rsid w:val="15E70B08"/>
    <w:rsid w:val="168801D3"/>
    <w:rsid w:val="16BF34C9"/>
    <w:rsid w:val="16D36F75"/>
    <w:rsid w:val="16F13135"/>
    <w:rsid w:val="17481711"/>
    <w:rsid w:val="17732C32"/>
    <w:rsid w:val="1787048B"/>
    <w:rsid w:val="17B45EC3"/>
    <w:rsid w:val="17BF60B6"/>
    <w:rsid w:val="17D5451B"/>
    <w:rsid w:val="17E717E0"/>
    <w:rsid w:val="180C1F5F"/>
    <w:rsid w:val="18196493"/>
    <w:rsid w:val="182B350C"/>
    <w:rsid w:val="183323C1"/>
    <w:rsid w:val="185F79E5"/>
    <w:rsid w:val="18980476"/>
    <w:rsid w:val="18C96881"/>
    <w:rsid w:val="18ED2570"/>
    <w:rsid w:val="190A5148"/>
    <w:rsid w:val="19EB72A2"/>
    <w:rsid w:val="19FD1CEF"/>
    <w:rsid w:val="1A1F513E"/>
    <w:rsid w:val="1A4563DB"/>
    <w:rsid w:val="1A8635C8"/>
    <w:rsid w:val="1A9609E5"/>
    <w:rsid w:val="1B4641B9"/>
    <w:rsid w:val="1BBA3864"/>
    <w:rsid w:val="1BCA6B98"/>
    <w:rsid w:val="1BDE2525"/>
    <w:rsid w:val="1BE0460E"/>
    <w:rsid w:val="1BEA0FE8"/>
    <w:rsid w:val="1C5172BA"/>
    <w:rsid w:val="1C9D605B"/>
    <w:rsid w:val="1CB17D58"/>
    <w:rsid w:val="1CB25FAA"/>
    <w:rsid w:val="1CEC0D90"/>
    <w:rsid w:val="1D5F77B4"/>
    <w:rsid w:val="1D632E00"/>
    <w:rsid w:val="1D8F1E47"/>
    <w:rsid w:val="1DB25B36"/>
    <w:rsid w:val="1DC51585"/>
    <w:rsid w:val="1DD063CF"/>
    <w:rsid w:val="1DF779ED"/>
    <w:rsid w:val="1DFE521F"/>
    <w:rsid w:val="1E2702D2"/>
    <w:rsid w:val="1E2A2254"/>
    <w:rsid w:val="1E3842D7"/>
    <w:rsid w:val="1E890F8D"/>
    <w:rsid w:val="1ED36980"/>
    <w:rsid w:val="1EF81C6E"/>
    <w:rsid w:val="1F136AA8"/>
    <w:rsid w:val="1F1F71FB"/>
    <w:rsid w:val="1F740D38"/>
    <w:rsid w:val="1F9B55C9"/>
    <w:rsid w:val="1F9F033C"/>
    <w:rsid w:val="1FBE6A14"/>
    <w:rsid w:val="205729C5"/>
    <w:rsid w:val="205F63D2"/>
    <w:rsid w:val="2097136A"/>
    <w:rsid w:val="209D487B"/>
    <w:rsid w:val="20B91741"/>
    <w:rsid w:val="20C242E2"/>
    <w:rsid w:val="20F46465"/>
    <w:rsid w:val="21097D4A"/>
    <w:rsid w:val="21661111"/>
    <w:rsid w:val="21947BAF"/>
    <w:rsid w:val="219519F6"/>
    <w:rsid w:val="21AF0DFB"/>
    <w:rsid w:val="21CF4F08"/>
    <w:rsid w:val="222F1E4B"/>
    <w:rsid w:val="223E3E3C"/>
    <w:rsid w:val="226D55B8"/>
    <w:rsid w:val="228D5F39"/>
    <w:rsid w:val="229735CA"/>
    <w:rsid w:val="22BF6717"/>
    <w:rsid w:val="2302130E"/>
    <w:rsid w:val="23231A73"/>
    <w:rsid w:val="234C2589"/>
    <w:rsid w:val="237017BB"/>
    <w:rsid w:val="238D507B"/>
    <w:rsid w:val="23BE3912"/>
    <w:rsid w:val="23D700A4"/>
    <w:rsid w:val="24207C9D"/>
    <w:rsid w:val="24656C1B"/>
    <w:rsid w:val="24703E03"/>
    <w:rsid w:val="247E2C16"/>
    <w:rsid w:val="249266C1"/>
    <w:rsid w:val="24D12D46"/>
    <w:rsid w:val="24FD1D8D"/>
    <w:rsid w:val="250336C8"/>
    <w:rsid w:val="251C7F7B"/>
    <w:rsid w:val="253432D4"/>
    <w:rsid w:val="257A33DD"/>
    <w:rsid w:val="25AA523A"/>
    <w:rsid w:val="25D1142C"/>
    <w:rsid w:val="25EE15AD"/>
    <w:rsid w:val="26143832"/>
    <w:rsid w:val="261D1FBA"/>
    <w:rsid w:val="261F20D3"/>
    <w:rsid w:val="263452D7"/>
    <w:rsid w:val="26792A64"/>
    <w:rsid w:val="26CB1A16"/>
    <w:rsid w:val="26F7280B"/>
    <w:rsid w:val="27547C5E"/>
    <w:rsid w:val="277976C4"/>
    <w:rsid w:val="27D05536"/>
    <w:rsid w:val="27D112AE"/>
    <w:rsid w:val="280C22E7"/>
    <w:rsid w:val="28170541"/>
    <w:rsid w:val="28335AC5"/>
    <w:rsid w:val="28706D19"/>
    <w:rsid w:val="28A80261"/>
    <w:rsid w:val="28E74AAC"/>
    <w:rsid w:val="28FE2577"/>
    <w:rsid w:val="292F265F"/>
    <w:rsid w:val="294C5091"/>
    <w:rsid w:val="29712D49"/>
    <w:rsid w:val="29936474"/>
    <w:rsid w:val="29D24E67"/>
    <w:rsid w:val="29EB48A9"/>
    <w:rsid w:val="2A07545B"/>
    <w:rsid w:val="2A0B4F4C"/>
    <w:rsid w:val="2A1D74B6"/>
    <w:rsid w:val="2A685EFA"/>
    <w:rsid w:val="2A9156A2"/>
    <w:rsid w:val="2A9A1E2C"/>
    <w:rsid w:val="2AA040BA"/>
    <w:rsid w:val="2ACB46DB"/>
    <w:rsid w:val="2B801021"/>
    <w:rsid w:val="2C2A302A"/>
    <w:rsid w:val="2C4209CD"/>
    <w:rsid w:val="2C70553A"/>
    <w:rsid w:val="2C772424"/>
    <w:rsid w:val="2C9F7BCD"/>
    <w:rsid w:val="2D294951"/>
    <w:rsid w:val="2D7D2598"/>
    <w:rsid w:val="2D8A262B"/>
    <w:rsid w:val="2DA60AE7"/>
    <w:rsid w:val="2E2C723F"/>
    <w:rsid w:val="2E4E18AB"/>
    <w:rsid w:val="2EC13E2B"/>
    <w:rsid w:val="2EDD0684"/>
    <w:rsid w:val="2EF82EA4"/>
    <w:rsid w:val="2F49732F"/>
    <w:rsid w:val="2F805A94"/>
    <w:rsid w:val="2FC75471"/>
    <w:rsid w:val="2FD7142C"/>
    <w:rsid w:val="2FD858D0"/>
    <w:rsid w:val="30087837"/>
    <w:rsid w:val="30246C81"/>
    <w:rsid w:val="30D37E45"/>
    <w:rsid w:val="30F1651D"/>
    <w:rsid w:val="30FC0F59"/>
    <w:rsid w:val="3103697D"/>
    <w:rsid w:val="31353B3B"/>
    <w:rsid w:val="31C205E6"/>
    <w:rsid w:val="323D71D6"/>
    <w:rsid w:val="329E7067"/>
    <w:rsid w:val="32A72670"/>
    <w:rsid w:val="32A74481"/>
    <w:rsid w:val="32D85BE7"/>
    <w:rsid w:val="336D632F"/>
    <w:rsid w:val="33CC5F8E"/>
    <w:rsid w:val="33CD3272"/>
    <w:rsid w:val="33FB1B8D"/>
    <w:rsid w:val="340C5B48"/>
    <w:rsid w:val="34B9286C"/>
    <w:rsid w:val="34CE72A2"/>
    <w:rsid w:val="34E16FD5"/>
    <w:rsid w:val="34F16AD7"/>
    <w:rsid w:val="34F565DC"/>
    <w:rsid w:val="34F76CCC"/>
    <w:rsid w:val="35156C7E"/>
    <w:rsid w:val="351D5B33"/>
    <w:rsid w:val="358675F0"/>
    <w:rsid w:val="35B46497"/>
    <w:rsid w:val="35FB40C6"/>
    <w:rsid w:val="365B1201"/>
    <w:rsid w:val="367D0F7F"/>
    <w:rsid w:val="36AB40E2"/>
    <w:rsid w:val="36EC6E3D"/>
    <w:rsid w:val="36F646A5"/>
    <w:rsid w:val="36FB00F6"/>
    <w:rsid w:val="371C2E8E"/>
    <w:rsid w:val="373D426B"/>
    <w:rsid w:val="373D42AF"/>
    <w:rsid w:val="37411FAD"/>
    <w:rsid w:val="374C2700"/>
    <w:rsid w:val="37865C12"/>
    <w:rsid w:val="379522F8"/>
    <w:rsid w:val="37991DE9"/>
    <w:rsid w:val="37AB74C2"/>
    <w:rsid w:val="37CC5893"/>
    <w:rsid w:val="37F742DF"/>
    <w:rsid w:val="3814321D"/>
    <w:rsid w:val="38303DCF"/>
    <w:rsid w:val="386D0B7F"/>
    <w:rsid w:val="38807E5C"/>
    <w:rsid w:val="388F4AC7"/>
    <w:rsid w:val="38E36B3A"/>
    <w:rsid w:val="391334D5"/>
    <w:rsid w:val="39202096"/>
    <w:rsid w:val="396957EB"/>
    <w:rsid w:val="39A14F85"/>
    <w:rsid w:val="39FD5F33"/>
    <w:rsid w:val="3A015A23"/>
    <w:rsid w:val="3A271A13"/>
    <w:rsid w:val="3A2C579E"/>
    <w:rsid w:val="3A2D5EA0"/>
    <w:rsid w:val="3A52002D"/>
    <w:rsid w:val="3A56723A"/>
    <w:rsid w:val="3AAF64A1"/>
    <w:rsid w:val="3ABC7B9C"/>
    <w:rsid w:val="3B1E3282"/>
    <w:rsid w:val="3B1E6D71"/>
    <w:rsid w:val="3B2B731B"/>
    <w:rsid w:val="3B334302"/>
    <w:rsid w:val="3B47390A"/>
    <w:rsid w:val="3B7641EF"/>
    <w:rsid w:val="3B806E1C"/>
    <w:rsid w:val="3BB371F1"/>
    <w:rsid w:val="3BCE7B87"/>
    <w:rsid w:val="3C147E29"/>
    <w:rsid w:val="3C3D6ABB"/>
    <w:rsid w:val="3C5E51C3"/>
    <w:rsid w:val="3C7921E9"/>
    <w:rsid w:val="3C797AF3"/>
    <w:rsid w:val="3CB40EF3"/>
    <w:rsid w:val="3D0E02FD"/>
    <w:rsid w:val="3D346110"/>
    <w:rsid w:val="3D42082D"/>
    <w:rsid w:val="3D7B789B"/>
    <w:rsid w:val="3DC21146"/>
    <w:rsid w:val="3DD1570D"/>
    <w:rsid w:val="3DFA6FA5"/>
    <w:rsid w:val="3DFE5085"/>
    <w:rsid w:val="3E66679D"/>
    <w:rsid w:val="3EAF2D25"/>
    <w:rsid w:val="3EE71B56"/>
    <w:rsid w:val="3EEF20BD"/>
    <w:rsid w:val="3EF67B21"/>
    <w:rsid w:val="3F0D6C18"/>
    <w:rsid w:val="3F3B5533"/>
    <w:rsid w:val="3FAA090B"/>
    <w:rsid w:val="3FBA1790"/>
    <w:rsid w:val="3FBD063E"/>
    <w:rsid w:val="409F187F"/>
    <w:rsid w:val="41016D79"/>
    <w:rsid w:val="412F7925"/>
    <w:rsid w:val="41382B0D"/>
    <w:rsid w:val="41463C47"/>
    <w:rsid w:val="4148218A"/>
    <w:rsid w:val="417411D1"/>
    <w:rsid w:val="418A27A2"/>
    <w:rsid w:val="421B33FA"/>
    <w:rsid w:val="42415ACC"/>
    <w:rsid w:val="42507548"/>
    <w:rsid w:val="4296435D"/>
    <w:rsid w:val="42A54C0C"/>
    <w:rsid w:val="42CD1E63"/>
    <w:rsid w:val="43217A80"/>
    <w:rsid w:val="436D293E"/>
    <w:rsid w:val="43CA280D"/>
    <w:rsid w:val="43D917BF"/>
    <w:rsid w:val="44316F05"/>
    <w:rsid w:val="445552E9"/>
    <w:rsid w:val="4461660D"/>
    <w:rsid w:val="44C14DFA"/>
    <w:rsid w:val="45252F0E"/>
    <w:rsid w:val="45533F2D"/>
    <w:rsid w:val="457F63EC"/>
    <w:rsid w:val="45A73923"/>
    <w:rsid w:val="45AC718B"/>
    <w:rsid w:val="45B24076"/>
    <w:rsid w:val="45BC2AC4"/>
    <w:rsid w:val="45C73FC5"/>
    <w:rsid w:val="45F51402"/>
    <w:rsid w:val="45F6387B"/>
    <w:rsid w:val="4674757D"/>
    <w:rsid w:val="46CB1893"/>
    <w:rsid w:val="46D06EA9"/>
    <w:rsid w:val="46DF70EC"/>
    <w:rsid w:val="47044DA5"/>
    <w:rsid w:val="47061B43"/>
    <w:rsid w:val="473B58A4"/>
    <w:rsid w:val="47743CD8"/>
    <w:rsid w:val="480A3EF4"/>
    <w:rsid w:val="480F1EC9"/>
    <w:rsid w:val="48141018"/>
    <w:rsid w:val="486B6EDA"/>
    <w:rsid w:val="486D24D6"/>
    <w:rsid w:val="489939B2"/>
    <w:rsid w:val="48DF5182"/>
    <w:rsid w:val="4904108C"/>
    <w:rsid w:val="49575660"/>
    <w:rsid w:val="498875C7"/>
    <w:rsid w:val="49C354C1"/>
    <w:rsid w:val="49D75781"/>
    <w:rsid w:val="49E54A1A"/>
    <w:rsid w:val="49EA3C1F"/>
    <w:rsid w:val="4A1A3609"/>
    <w:rsid w:val="4A396B13"/>
    <w:rsid w:val="4A4D25BF"/>
    <w:rsid w:val="4A647922"/>
    <w:rsid w:val="4AA246B9"/>
    <w:rsid w:val="4AD0206A"/>
    <w:rsid w:val="4B9C2AAE"/>
    <w:rsid w:val="4BF511BF"/>
    <w:rsid w:val="4C0B2731"/>
    <w:rsid w:val="4C0F3FD0"/>
    <w:rsid w:val="4C14361A"/>
    <w:rsid w:val="4C2E21F4"/>
    <w:rsid w:val="4C7E73A7"/>
    <w:rsid w:val="4C9A69DF"/>
    <w:rsid w:val="4CDB65A8"/>
    <w:rsid w:val="4CFE5DF2"/>
    <w:rsid w:val="4D0E4287"/>
    <w:rsid w:val="4D3C320F"/>
    <w:rsid w:val="4DFA5872"/>
    <w:rsid w:val="4E3272FE"/>
    <w:rsid w:val="4E630603"/>
    <w:rsid w:val="4E8567CB"/>
    <w:rsid w:val="4E99027A"/>
    <w:rsid w:val="4EFB4CDF"/>
    <w:rsid w:val="4FCB2904"/>
    <w:rsid w:val="4FE6773D"/>
    <w:rsid w:val="4FE92D8A"/>
    <w:rsid w:val="507C59AC"/>
    <w:rsid w:val="508D1E06"/>
    <w:rsid w:val="50DD28EE"/>
    <w:rsid w:val="51087240"/>
    <w:rsid w:val="510C31D4"/>
    <w:rsid w:val="514209A3"/>
    <w:rsid w:val="51594493"/>
    <w:rsid w:val="515A3FCC"/>
    <w:rsid w:val="519A6FAF"/>
    <w:rsid w:val="51CD5E78"/>
    <w:rsid w:val="51ED109E"/>
    <w:rsid w:val="52097713"/>
    <w:rsid w:val="525A3ACB"/>
    <w:rsid w:val="526F5A52"/>
    <w:rsid w:val="529D0C02"/>
    <w:rsid w:val="52B56CF8"/>
    <w:rsid w:val="52D675F5"/>
    <w:rsid w:val="52F537F4"/>
    <w:rsid w:val="535B5D4C"/>
    <w:rsid w:val="53846D14"/>
    <w:rsid w:val="538F3C48"/>
    <w:rsid w:val="53B84F4D"/>
    <w:rsid w:val="545C7FCE"/>
    <w:rsid w:val="54AA19D8"/>
    <w:rsid w:val="54AB6860"/>
    <w:rsid w:val="54CE3AA7"/>
    <w:rsid w:val="54F2189F"/>
    <w:rsid w:val="554B062A"/>
    <w:rsid w:val="55CD2D3D"/>
    <w:rsid w:val="55E02539"/>
    <w:rsid w:val="55E55977"/>
    <w:rsid w:val="56243ACD"/>
    <w:rsid w:val="56B714EC"/>
    <w:rsid w:val="56D171F0"/>
    <w:rsid w:val="56D95B7F"/>
    <w:rsid w:val="57212E09"/>
    <w:rsid w:val="572528F9"/>
    <w:rsid w:val="57684EDC"/>
    <w:rsid w:val="57B675EE"/>
    <w:rsid w:val="57F55B48"/>
    <w:rsid w:val="583C23E5"/>
    <w:rsid w:val="585F3F28"/>
    <w:rsid w:val="589046EA"/>
    <w:rsid w:val="5895585D"/>
    <w:rsid w:val="58B6732D"/>
    <w:rsid w:val="58D2260D"/>
    <w:rsid w:val="58F46A27"/>
    <w:rsid w:val="591075D9"/>
    <w:rsid w:val="59407EBE"/>
    <w:rsid w:val="598558D1"/>
    <w:rsid w:val="5A074538"/>
    <w:rsid w:val="5A291E7A"/>
    <w:rsid w:val="5A3E4514"/>
    <w:rsid w:val="5A64198B"/>
    <w:rsid w:val="5A930319"/>
    <w:rsid w:val="5AB75F5E"/>
    <w:rsid w:val="5AF739D9"/>
    <w:rsid w:val="5B7756EE"/>
    <w:rsid w:val="5BAD54FC"/>
    <w:rsid w:val="5BB64468"/>
    <w:rsid w:val="5BCA586A"/>
    <w:rsid w:val="5BD90B93"/>
    <w:rsid w:val="5BE0486A"/>
    <w:rsid w:val="5BE82147"/>
    <w:rsid w:val="5BEB53B8"/>
    <w:rsid w:val="5BF3746A"/>
    <w:rsid w:val="5C34265F"/>
    <w:rsid w:val="5C515CA6"/>
    <w:rsid w:val="5C71038F"/>
    <w:rsid w:val="5CA40764"/>
    <w:rsid w:val="5CAD7D38"/>
    <w:rsid w:val="5D6C2870"/>
    <w:rsid w:val="5D6F2B20"/>
    <w:rsid w:val="5DAA1DAA"/>
    <w:rsid w:val="5DCA7D57"/>
    <w:rsid w:val="5DEA7F80"/>
    <w:rsid w:val="5E062D59"/>
    <w:rsid w:val="5E535813"/>
    <w:rsid w:val="5E8C7702"/>
    <w:rsid w:val="5E912F6A"/>
    <w:rsid w:val="5E9D755E"/>
    <w:rsid w:val="5EBD3D5F"/>
    <w:rsid w:val="5EE10C91"/>
    <w:rsid w:val="5F6F0083"/>
    <w:rsid w:val="5F906D7E"/>
    <w:rsid w:val="5FCF7F2F"/>
    <w:rsid w:val="601654D5"/>
    <w:rsid w:val="60553502"/>
    <w:rsid w:val="60732927"/>
    <w:rsid w:val="607A3D8D"/>
    <w:rsid w:val="60912DAE"/>
    <w:rsid w:val="60AD1DFC"/>
    <w:rsid w:val="60D6228D"/>
    <w:rsid w:val="60F56A97"/>
    <w:rsid w:val="61204131"/>
    <w:rsid w:val="615C160D"/>
    <w:rsid w:val="618C33ED"/>
    <w:rsid w:val="61A134C4"/>
    <w:rsid w:val="61A42FB4"/>
    <w:rsid w:val="626F711E"/>
    <w:rsid w:val="628E1C9B"/>
    <w:rsid w:val="62A67E37"/>
    <w:rsid w:val="630E06E5"/>
    <w:rsid w:val="633671EC"/>
    <w:rsid w:val="633769A9"/>
    <w:rsid w:val="63520F1A"/>
    <w:rsid w:val="635D069E"/>
    <w:rsid w:val="637B48FF"/>
    <w:rsid w:val="63843A67"/>
    <w:rsid w:val="638C790B"/>
    <w:rsid w:val="63E94CAF"/>
    <w:rsid w:val="640F1388"/>
    <w:rsid w:val="641E6E0A"/>
    <w:rsid w:val="64393E88"/>
    <w:rsid w:val="644C3C0E"/>
    <w:rsid w:val="6485002B"/>
    <w:rsid w:val="649E3CEB"/>
    <w:rsid w:val="64AF7CA6"/>
    <w:rsid w:val="64BA3F18"/>
    <w:rsid w:val="652F7039"/>
    <w:rsid w:val="65856C59"/>
    <w:rsid w:val="65956E9C"/>
    <w:rsid w:val="6597768B"/>
    <w:rsid w:val="65D11E9E"/>
    <w:rsid w:val="66285F62"/>
    <w:rsid w:val="663A7A43"/>
    <w:rsid w:val="665A078F"/>
    <w:rsid w:val="66666A8A"/>
    <w:rsid w:val="666735ED"/>
    <w:rsid w:val="669F6056"/>
    <w:rsid w:val="670E33AA"/>
    <w:rsid w:val="67786A75"/>
    <w:rsid w:val="680F6B7F"/>
    <w:rsid w:val="681A5D7E"/>
    <w:rsid w:val="68264723"/>
    <w:rsid w:val="683F57E5"/>
    <w:rsid w:val="6884144A"/>
    <w:rsid w:val="688F22C8"/>
    <w:rsid w:val="68F774D8"/>
    <w:rsid w:val="691E5BA6"/>
    <w:rsid w:val="69277AD1"/>
    <w:rsid w:val="695D23C7"/>
    <w:rsid w:val="69992CD3"/>
    <w:rsid w:val="69A60125"/>
    <w:rsid w:val="69AB1384"/>
    <w:rsid w:val="69C53AC8"/>
    <w:rsid w:val="69C9180A"/>
    <w:rsid w:val="6A2829D5"/>
    <w:rsid w:val="6AAD4C88"/>
    <w:rsid w:val="6AD246EE"/>
    <w:rsid w:val="6AE85CC0"/>
    <w:rsid w:val="6B0A20DA"/>
    <w:rsid w:val="6B144D07"/>
    <w:rsid w:val="6B301415"/>
    <w:rsid w:val="6B4A0469"/>
    <w:rsid w:val="6B5B46E4"/>
    <w:rsid w:val="6B9136FA"/>
    <w:rsid w:val="6BDF5315"/>
    <w:rsid w:val="6BDF70C3"/>
    <w:rsid w:val="6BEF1186"/>
    <w:rsid w:val="6BF574DE"/>
    <w:rsid w:val="6C3D4C22"/>
    <w:rsid w:val="6C5D448C"/>
    <w:rsid w:val="6C6677E4"/>
    <w:rsid w:val="6C6F3F6B"/>
    <w:rsid w:val="6C8726F7"/>
    <w:rsid w:val="6C8D26AC"/>
    <w:rsid w:val="6CCF5389"/>
    <w:rsid w:val="6D0D7DE6"/>
    <w:rsid w:val="6D592EA5"/>
    <w:rsid w:val="6D797533"/>
    <w:rsid w:val="6D921C73"/>
    <w:rsid w:val="6DB36A59"/>
    <w:rsid w:val="6DCA1A0F"/>
    <w:rsid w:val="6DCE3893"/>
    <w:rsid w:val="6E000616"/>
    <w:rsid w:val="6E494CC8"/>
    <w:rsid w:val="6E5555DC"/>
    <w:rsid w:val="6EA36ACE"/>
    <w:rsid w:val="6EB505AF"/>
    <w:rsid w:val="6F3E67F6"/>
    <w:rsid w:val="6F5979D7"/>
    <w:rsid w:val="6F871F4B"/>
    <w:rsid w:val="6FA84376"/>
    <w:rsid w:val="70087110"/>
    <w:rsid w:val="70877D29"/>
    <w:rsid w:val="70903082"/>
    <w:rsid w:val="70D17DAD"/>
    <w:rsid w:val="71070737"/>
    <w:rsid w:val="710E3FA6"/>
    <w:rsid w:val="713752AB"/>
    <w:rsid w:val="716D5171"/>
    <w:rsid w:val="71A0360A"/>
    <w:rsid w:val="71AF7537"/>
    <w:rsid w:val="71CF3736"/>
    <w:rsid w:val="71DE606F"/>
    <w:rsid w:val="721C704C"/>
    <w:rsid w:val="72200435"/>
    <w:rsid w:val="724100D7"/>
    <w:rsid w:val="72DE0805"/>
    <w:rsid w:val="735071F1"/>
    <w:rsid w:val="73702CF6"/>
    <w:rsid w:val="74324450"/>
    <w:rsid w:val="74B02CFC"/>
    <w:rsid w:val="74CE5F27"/>
    <w:rsid w:val="754129C7"/>
    <w:rsid w:val="75610B49"/>
    <w:rsid w:val="75B5062A"/>
    <w:rsid w:val="75F145C2"/>
    <w:rsid w:val="76275304"/>
    <w:rsid w:val="765B5EE0"/>
    <w:rsid w:val="76901DB2"/>
    <w:rsid w:val="76A01B45"/>
    <w:rsid w:val="76EC2159"/>
    <w:rsid w:val="76FB1E6F"/>
    <w:rsid w:val="774921DC"/>
    <w:rsid w:val="775070C7"/>
    <w:rsid w:val="775F555C"/>
    <w:rsid w:val="78216CB5"/>
    <w:rsid w:val="78250553"/>
    <w:rsid w:val="78283BA0"/>
    <w:rsid w:val="784E052B"/>
    <w:rsid w:val="785250C1"/>
    <w:rsid w:val="78570929"/>
    <w:rsid w:val="78882890"/>
    <w:rsid w:val="78911745"/>
    <w:rsid w:val="789D7B19"/>
    <w:rsid w:val="78E57CE3"/>
    <w:rsid w:val="78EB3317"/>
    <w:rsid w:val="79254583"/>
    <w:rsid w:val="792C3B64"/>
    <w:rsid w:val="7936053E"/>
    <w:rsid w:val="793D367B"/>
    <w:rsid w:val="795A247F"/>
    <w:rsid w:val="79D33FDF"/>
    <w:rsid w:val="79F0693F"/>
    <w:rsid w:val="79FF06C1"/>
    <w:rsid w:val="7A186697"/>
    <w:rsid w:val="7A1F0FD2"/>
    <w:rsid w:val="7A2931E5"/>
    <w:rsid w:val="7A6C60B4"/>
    <w:rsid w:val="7A811C8D"/>
    <w:rsid w:val="7A9B4AFD"/>
    <w:rsid w:val="7AA8546C"/>
    <w:rsid w:val="7AEC0927"/>
    <w:rsid w:val="7AFD4C76"/>
    <w:rsid w:val="7B7F61CD"/>
    <w:rsid w:val="7B931C78"/>
    <w:rsid w:val="7BDD535C"/>
    <w:rsid w:val="7BF344C5"/>
    <w:rsid w:val="7BFD5343"/>
    <w:rsid w:val="7C0861C2"/>
    <w:rsid w:val="7CA659DB"/>
    <w:rsid w:val="7CAA2823"/>
    <w:rsid w:val="7CC16371"/>
    <w:rsid w:val="7CC3033B"/>
    <w:rsid w:val="7CD17DB6"/>
    <w:rsid w:val="7CDE6F23"/>
    <w:rsid w:val="7CEA105F"/>
    <w:rsid w:val="7CF46746"/>
    <w:rsid w:val="7CF91FAF"/>
    <w:rsid w:val="7D8A0E59"/>
    <w:rsid w:val="7DAE00ED"/>
    <w:rsid w:val="7DBA7990"/>
    <w:rsid w:val="7DE7443E"/>
    <w:rsid w:val="7E0E1A8A"/>
    <w:rsid w:val="7E3C2153"/>
    <w:rsid w:val="7E3F39F1"/>
    <w:rsid w:val="7E470887"/>
    <w:rsid w:val="7E555ACA"/>
    <w:rsid w:val="7E5971A9"/>
    <w:rsid w:val="7ECE4181"/>
    <w:rsid w:val="7EFC3D40"/>
    <w:rsid w:val="7F1F3593"/>
    <w:rsid w:val="7F495B19"/>
    <w:rsid w:val="7F9935D5"/>
    <w:rsid w:val="7F9E4FC7"/>
    <w:rsid w:val="7FC0534C"/>
    <w:rsid w:val="7FE505C8"/>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spacing w:before="14"/>
      <w:outlineLvl w:val="1"/>
    </w:pPr>
    <w:rPr>
      <w:rFonts w:ascii="宋体" w:hAnsi="宋体" w:eastAsia="宋体"/>
      <w:b/>
      <w:bCs/>
      <w:sz w:val="28"/>
      <w:szCs w:val="28"/>
    </w:rPr>
  </w:style>
  <w:style w:type="paragraph" w:styleId="4">
    <w:name w:val="heading 4"/>
    <w:basedOn w:val="1"/>
    <w:next w:val="5"/>
    <w:qFormat/>
    <w:uiPriority w:val="0"/>
    <w:pPr>
      <w:keepNext/>
      <w:widowControl/>
      <w:jc w:val="center"/>
      <w:outlineLvl w:val="3"/>
    </w:pPr>
    <w:rPr>
      <w:rFonts w:ascii="Arial Black" w:hAnsi="Arial Black"/>
      <w:kern w:val="0"/>
      <w:sz w:val="32"/>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next w:val="4"/>
    <w:qFormat/>
    <w:uiPriority w:val="0"/>
    <w:pPr>
      <w:adjustRightInd w:val="0"/>
      <w:spacing w:line="360" w:lineRule="atLeast"/>
      <w:ind w:left="480"/>
      <w:textAlignment w:val="baseline"/>
    </w:pPr>
    <w:rPr>
      <w:kern w:val="0"/>
    </w:rPr>
  </w:style>
  <w:style w:type="paragraph" w:styleId="6">
    <w:name w:val="Body Text"/>
    <w:basedOn w:val="1"/>
    <w:next w:val="1"/>
    <w:qFormat/>
    <w:uiPriority w:val="0"/>
    <w:pPr>
      <w:spacing w:after="120"/>
    </w:pPr>
    <w:rPr>
      <w:szCs w:val="24"/>
    </w:rPr>
  </w:style>
  <w:style w:type="paragraph" w:styleId="7">
    <w:name w:val="Body Text Indent"/>
    <w:basedOn w:val="1"/>
    <w:next w:val="8"/>
    <w:qFormat/>
    <w:uiPriority w:val="0"/>
    <w:pPr>
      <w:spacing w:line="440" w:lineRule="exact"/>
      <w:ind w:firstLine="552" w:firstLineChars="230"/>
    </w:pPr>
    <w:rPr>
      <w:rFonts w:ascii="宋体" w:hAnsi="宋体"/>
      <w:sz w:val="24"/>
    </w:rPr>
  </w:style>
  <w:style w:type="paragraph" w:styleId="8">
    <w:name w:val="toc 3"/>
    <w:basedOn w:val="1"/>
    <w:next w:val="1"/>
    <w:unhideWhenUsed/>
    <w:qFormat/>
    <w:uiPriority w:val="39"/>
    <w:pPr>
      <w:spacing w:before="0" w:after="100" w:line="276" w:lineRule="auto"/>
      <w:ind w:left="440" w:firstLine="0" w:firstLineChars="0"/>
    </w:pPr>
    <w:rPr>
      <w:sz w:val="22"/>
      <w:szCs w:val="22"/>
    </w:r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next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styleId="14">
    <w:name w:val="Body Text First Indent 2"/>
    <w:basedOn w:val="7"/>
    <w:next w:val="1"/>
    <w:unhideWhenUsed/>
    <w:qFormat/>
    <w:uiPriority w:val="99"/>
    <w:pPr>
      <w:ind w:firstLine="420" w:firstLineChars="200"/>
    </w:pPr>
    <w:rPr>
      <w:szCs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338DE6"/>
      <w:u w:val="none"/>
    </w:rPr>
  </w:style>
  <w:style w:type="paragraph" w:customStyle="1" w:styleId="19">
    <w:name w:val="正文 首行缩进:  2 字符"/>
    <w:basedOn w:val="1"/>
    <w:qFormat/>
    <w:uiPriority w:val="0"/>
    <w:pPr>
      <w:ind w:firstLine="200" w:firstLineChars="200"/>
    </w:pPr>
    <w:rPr>
      <w:rFonts w:cs="宋体"/>
      <w:sz w:val="24"/>
      <w:szCs w:val="20"/>
    </w:rPr>
  </w:style>
  <w:style w:type="character" w:customStyle="1" w:styleId="20">
    <w:name w:val="页眉 Char"/>
    <w:basedOn w:val="17"/>
    <w:link w:val="11"/>
    <w:qFormat/>
    <w:uiPriority w:val="99"/>
    <w:rPr>
      <w:rFonts w:ascii="Times New Roman" w:hAnsi="Times New Roman" w:eastAsia="宋体" w:cs="Times New Roman"/>
      <w:sz w:val="18"/>
      <w:szCs w:val="18"/>
    </w:rPr>
  </w:style>
  <w:style w:type="character" w:customStyle="1" w:styleId="21">
    <w:name w:val="页脚 Char"/>
    <w:basedOn w:val="17"/>
    <w:link w:val="10"/>
    <w:qFormat/>
    <w:uiPriority w:val="99"/>
    <w:rPr>
      <w:rFonts w:ascii="Times New Roman" w:hAnsi="Times New Roman" w:eastAsia="宋体" w:cs="Times New Roman"/>
      <w:sz w:val="18"/>
      <w:szCs w:val="18"/>
    </w:rPr>
  </w:style>
  <w:style w:type="character" w:customStyle="1" w:styleId="22">
    <w:name w:val="批注框文本 Char"/>
    <w:basedOn w:val="17"/>
    <w:link w:val="9"/>
    <w:semiHidden/>
    <w:qFormat/>
    <w:uiPriority w:val="99"/>
    <w:rPr>
      <w:rFonts w:ascii="Times New Roman" w:hAnsi="Times New Roman" w:eastAsia="宋体" w:cs="Times New Roman"/>
      <w:sz w:val="18"/>
      <w:szCs w:val="18"/>
    </w:rPr>
  </w:style>
  <w:style w:type="character" w:customStyle="1" w:styleId="23">
    <w:name w:val="Char Char1"/>
    <w:qFormat/>
    <w:locked/>
    <w:uiPriority w:val="0"/>
    <w:rPr>
      <w:rFonts w:hint="eastAsia" w:ascii="宋体" w:hAnsi="Courier New" w:eastAsia="宋体"/>
      <w:kern w:val="2"/>
      <w:sz w:val="21"/>
      <w:lang w:val="en-US" w:eastAsia="zh-CN" w:bidi="ar-SA"/>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11397</Words>
  <Characters>11874</Characters>
  <Lines>1</Lines>
  <Paragraphs>1</Paragraphs>
  <TotalTime>2</TotalTime>
  <ScaleCrop>false</ScaleCrop>
  <LinksUpToDate>false</LinksUpToDate>
  <CharactersWithSpaces>12028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园园</cp:lastModifiedBy>
  <dcterms:modified xsi:type="dcterms:W3CDTF">2022-10-23T07:32:50Z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