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重庆满惠网络科技有限公司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重庆市江北区建新西路2号22-1(自编号5号)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重庆市江北区建新西路2号22-1(自编号5号)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雷渝申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18623394507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bookmarkStart w:id="7" w:name="管理者代表"/>
            <w:r>
              <w:t>刘娟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0670-2022-EO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E：应用软件开发所涉及场所的相关环境管理活动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O：应用软件开发所涉及场所的相关职业健康安全管理活动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E：33.02.01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O：33.02.01</w:t>
            </w:r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1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2022年10月14日 下午至2022年10月15日 下午</w:t>
            </w:r>
            <w:bookmarkEnd w:id="34"/>
            <w:r>
              <w:rPr>
                <w:rFonts w:hint="eastAsia"/>
                <w:b/>
                <w:sz w:val="20"/>
              </w:rPr>
              <w:t>(共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60960</wp:posOffset>
                  </wp:positionV>
                  <wp:extent cx="812800" cy="400050"/>
                  <wp:effectExtent l="0" t="0" r="6350" b="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2022.10.13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2022.10.13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snapToGrid w:val="0"/>
        <w:spacing w:before="163" w:beforeLines="50" w:line="32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阶段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现场</w:t>
      </w:r>
      <w:r>
        <w:rPr>
          <w:rFonts w:hint="eastAsia" w:ascii="宋体" w:hAnsi="宋体" w:eastAsia="宋体" w:cs="宋体"/>
          <w:sz w:val="28"/>
          <w:szCs w:val="28"/>
        </w:rPr>
        <w:t>审核计划</w:t>
      </w: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387"/>
        <w:gridCol w:w="1025"/>
        <w:gridCol w:w="6263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4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2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46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14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7288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7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both"/>
            </w:pPr>
          </w:p>
        </w:tc>
        <w:tc>
          <w:tcPr>
            <w:tcW w:w="1025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263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EMS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：</w:t>
            </w:r>
            <w:bookmarkStart w:id="37" w:name="_GoBack"/>
            <w:bookmarkEnd w:id="37"/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；6.2目标及其实现的策划；7.1资源；7.4沟通；7.5.1文件化信息总则；9.1.1监测、分析和评估总则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9.2内审；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</w:rPr>
              <w:t>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tabs>
                <w:tab w:val="left" w:pos="4227"/>
              </w:tabs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6.2目标及其实现的策划；7.1资源；7.4信息和沟通；7.5.1文件化信息总则；9.1监视、测量、分析和评价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9.2内审；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</w:rPr>
              <w:t>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范围的确认，资质的确认，管理体系变化情况、法律法规执行情况，重大环境事故及职业健康安全投诉情况，一阶段问题验证。</w:t>
            </w:r>
          </w:p>
        </w:tc>
        <w:tc>
          <w:tcPr>
            <w:tcW w:w="95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7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7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25" w:type="dxa"/>
            <w:vAlign w:val="top"/>
          </w:tcPr>
          <w:p>
            <w:pPr>
              <w:spacing w:line="300" w:lineRule="exact"/>
              <w:jc w:val="both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办公室（含财务部）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263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MS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6.1.2环境因素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6.1.3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法律法规要求和其他要求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6.2目标及其实现的策划；7.1资源；7.2能力；7.3意识；7.4信息和沟通；7.5文件化信息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8.1运行策划和控制8.2应急准备和响应；9.1监视、测量、分析与评估；9.1.2符合性评估；10.2不符合和纠正措施；10.3持续改进/EMS运行控制相关财务支出证据。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事件、不符合和纠正措施；10.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持续改进/OHSMS运行控制财务支出证据。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746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387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午餐12：00-12：30）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25" w:type="dxa"/>
            <w:vAlign w:val="top"/>
          </w:tcPr>
          <w:p>
            <w:pPr>
              <w:spacing w:line="30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研发部</w:t>
            </w:r>
          </w:p>
          <w:p>
            <w:pPr>
              <w:pStyle w:val="15"/>
              <w:jc w:val="both"/>
            </w:pPr>
          </w:p>
        </w:tc>
        <w:tc>
          <w:tcPr>
            <w:tcW w:w="6263" w:type="dxa"/>
            <w:vAlign w:val="top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6.2目标及其实现的策划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7.4沟通；8.1运行策划和控制；8.2应急准备和响应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5.3组织的角色、职责和权限；6.2目标及其实现的策划；6.1.2危险源辨识和职业安全风险评价；7.4信息和沟通；8.1运行策划和控制；8.2应急准备和响应；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7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7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午餐12：00-12：30）</w:t>
            </w:r>
          </w:p>
          <w:p>
            <w:pPr>
              <w:pStyle w:val="15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25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客户服务部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263" w:type="dxa"/>
            <w:vAlign w:val="top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6.2目标及其实现的策划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5.3组织的角色、职责和权限；6.2目标及其实现的策划；6.1.2危险源辨识和职业安全风险评价；7.4信息和沟通；8.1运行策划和控制；8.2应急准备和响应；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28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95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9B554AF"/>
    <w:rsid w:val="64F8164D"/>
    <w:rsid w:val="66521231"/>
    <w:rsid w:val="7FB82D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2846</Words>
  <Characters>4806</Characters>
  <Lines>37</Lines>
  <Paragraphs>10</Paragraphs>
  <TotalTime>2</TotalTime>
  <ScaleCrop>false</ScaleCrop>
  <LinksUpToDate>false</LinksUpToDate>
  <CharactersWithSpaces>5084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2022-10-12T06:04:42Z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