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bidi w:val="0"/>
              <w:rPr>
                <w:rFonts w:hint="eastAsia"/>
                <w:lang w:val="en-US" w:eastAsia="zh-CN"/>
              </w:rPr>
            </w:pPr>
            <w:r>
              <w:rPr>
                <w:rFonts w:hint="eastAsia"/>
                <w:lang w:val="en-US" w:eastAsia="zh-CN"/>
              </w:rPr>
              <w:t>过程与活动、</w:t>
            </w:r>
          </w:p>
          <w:p>
            <w:pPr>
              <w:bidi w:val="0"/>
              <w:rPr>
                <w:rFonts w:hint="eastAsia"/>
                <w:lang w:val="en-US" w:eastAsia="zh-CN"/>
              </w:rPr>
            </w:pPr>
            <w:r>
              <w:rPr>
                <w:rFonts w:hint="eastAsia"/>
                <w:lang w:val="en-US" w:eastAsia="zh-CN"/>
              </w:rPr>
              <w:t>抽样计划</w:t>
            </w:r>
          </w:p>
        </w:tc>
        <w:tc>
          <w:tcPr>
            <w:tcW w:w="998" w:type="dxa"/>
            <w:vMerge w:val="restart"/>
            <w:vAlign w:val="center"/>
          </w:tcPr>
          <w:p>
            <w:pPr>
              <w:bidi w:val="0"/>
              <w:rPr>
                <w:rFonts w:hint="eastAsia"/>
                <w:lang w:val="en-US" w:eastAsia="zh-CN"/>
              </w:rPr>
            </w:pPr>
            <w:r>
              <w:rPr>
                <w:rFonts w:hint="eastAsia"/>
                <w:lang w:val="en-US" w:eastAsia="zh-CN"/>
              </w:rPr>
              <w:t>涉及</w:t>
            </w:r>
          </w:p>
          <w:p>
            <w:pPr>
              <w:bidi w:val="0"/>
              <w:rPr>
                <w:rFonts w:hint="eastAsia"/>
                <w:lang w:val="en-US" w:eastAsia="zh-CN"/>
              </w:rPr>
            </w:pPr>
            <w:r>
              <w:rPr>
                <w:rFonts w:hint="eastAsia"/>
                <w:lang w:val="en-US" w:eastAsia="zh-CN"/>
              </w:rPr>
              <w:t>条款</w:t>
            </w:r>
          </w:p>
        </w:tc>
        <w:tc>
          <w:tcPr>
            <w:tcW w:w="10004" w:type="dxa"/>
            <w:vAlign w:val="center"/>
          </w:tcPr>
          <w:p>
            <w:pPr>
              <w:bidi w:val="0"/>
              <w:rPr>
                <w:rFonts w:hint="default"/>
                <w:lang w:val="en-US" w:eastAsia="zh-CN"/>
              </w:rPr>
            </w:pPr>
            <w:r>
              <w:rPr>
                <w:rFonts w:hint="eastAsia"/>
                <w:lang w:val="en-US" w:eastAsia="zh-CN"/>
              </w:rPr>
              <w:t>受审核部门：采购部   主管领导：费梅强   陪同人员：何远</w:t>
            </w:r>
          </w:p>
        </w:tc>
        <w:tc>
          <w:tcPr>
            <w:tcW w:w="1585" w:type="dxa"/>
            <w:vMerge w:val="restart"/>
            <w:vAlign w:val="center"/>
          </w:tcPr>
          <w:p>
            <w:pPr>
              <w:bidi w:val="0"/>
              <w:rPr>
                <w:rFonts w:hint="eastAsia"/>
                <w:lang w:val="en-US" w:eastAsia="zh-CN"/>
              </w:rPr>
            </w:pPr>
            <w:r>
              <w:rPr>
                <w:rFonts w:hint="eastAsia"/>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pPr>
              <w:bidi w:val="0"/>
              <w:rPr>
                <w:rFonts w:hint="eastAsia"/>
                <w:lang w:val="en-US" w:eastAsia="zh-CN"/>
              </w:rPr>
            </w:pPr>
          </w:p>
        </w:tc>
        <w:tc>
          <w:tcPr>
            <w:tcW w:w="998" w:type="dxa"/>
            <w:vMerge w:val="continue"/>
            <w:vAlign w:val="center"/>
          </w:tcPr>
          <w:p>
            <w:pPr>
              <w:bidi w:val="0"/>
              <w:rPr>
                <w:rFonts w:hint="eastAsia"/>
                <w:lang w:val="en-US" w:eastAsia="zh-CN"/>
              </w:rPr>
            </w:pPr>
          </w:p>
        </w:tc>
        <w:tc>
          <w:tcPr>
            <w:tcW w:w="10004" w:type="dxa"/>
            <w:vAlign w:val="center"/>
          </w:tcPr>
          <w:p>
            <w:pPr>
              <w:bidi w:val="0"/>
              <w:rPr>
                <w:rFonts w:hint="default"/>
                <w:lang w:val="en-US" w:eastAsia="zh-CN"/>
              </w:rPr>
            </w:pPr>
            <w:r>
              <w:rPr>
                <w:rFonts w:hint="eastAsia"/>
                <w:lang w:val="en-US" w:eastAsia="zh-CN"/>
              </w:rPr>
              <w:t>审核员：林兵    审核时间：2022年10月20日下午</w:t>
            </w:r>
          </w:p>
        </w:tc>
        <w:tc>
          <w:tcPr>
            <w:tcW w:w="1585" w:type="dxa"/>
            <w:vMerge w:val="continue"/>
          </w:tcPr>
          <w:p>
            <w:pPr>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pPr>
              <w:bidi w:val="0"/>
              <w:rPr>
                <w:rFonts w:hint="eastAsia"/>
                <w:lang w:val="en-US" w:eastAsia="zh-CN"/>
              </w:rPr>
            </w:pPr>
          </w:p>
        </w:tc>
        <w:tc>
          <w:tcPr>
            <w:tcW w:w="998" w:type="dxa"/>
            <w:vMerge w:val="continue"/>
            <w:vAlign w:val="center"/>
          </w:tcPr>
          <w:p>
            <w:pPr>
              <w:bidi w:val="0"/>
              <w:rPr>
                <w:rFonts w:hint="eastAsia"/>
                <w:lang w:val="en-US" w:eastAsia="zh-CN"/>
              </w:rPr>
            </w:pPr>
          </w:p>
        </w:tc>
        <w:tc>
          <w:tcPr>
            <w:tcW w:w="10004" w:type="dxa"/>
            <w:vAlign w:val="center"/>
          </w:tcPr>
          <w:p>
            <w:pPr>
              <w:bidi w:val="0"/>
              <w:rPr>
                <w:rFonts w:hint="eastAsia"/>
                <w:lang w:val="en-US" w:eastAsia="zh-CN"/>
              </w:rPr>
            </w:pPr>
            <w:r>
              <w:rPr>
                <w:rFonts w:hint="eastAsia"/>
                <w:lang w:val="en-US" w:eastAsia="zh-CN"/>
              </w:rPr>
              <w:t>审核条款：</w:t>
            </w:r>
          </w:p>
          <w:p>
            <w:pPr>
              <w:bidi w:val="0"/>
              <w:rPr>
                <w:rFonts w:hint="eastAsia"/>
                <w:lang w:val="en-US" w:eastAsia="zh-CN"/>
              </w:rPr>
            </w:pPr>
            <w:r>
              <w:rPr>
                <w:rFonts w:hint="eastAsia"/>
                <w:lang w:val="en-US" w:eastAsia="zh-CN"/>
              </w:rPr>
              <w:t>QES：5.3、6.2</w:t>
            </w:r>
          </w:p>
          <w:p>
            <w:pPr>
              <w:bidi w:val="0"/>
              <w:rPr>
                <w:rFonts w:hint="eastAsia"/>
                <w:lang w:val="en-US" w:eastAsia="zh-CN"/>
              </w:rPr>
            </w:pPr>
            <w:r>
              <w:rPr>
                <w:rFonts w:hint="eastAsia"/>
                <w:lang w:val="en-US" w:eastAsia="zh-CN"/>
              </w:rPr>
              <w:t>Q：8.4、8.5.3</w:t>
            </w:r>
          </w:p>
          <w:p>
            <w:pPr>
              <w:bidi w:val="0"/>
              <w:rPr>
                <w:rFonts w:hint="eastAsia"/>
                <w:lang w:val="en-US" w:eastAsia="zh-CN"/>
              </w:rPr>
            </w:pPr>
            <w:r>
              <w:rPr>
                <w:rFonts w:hint="eastAsia"/>
                <w:lang w:val="en-US" w:eastAsia="zh-CN"/>
              </w:rPr>
              <w:t>ES：6.1.2、8.1</w:t>
            </w:r>
          </w:p>
        </w:tc>
        <w:tc>
          <w:tcPr>
            <w:tcW w:w="1585" w:type="dxa"/>
            <w:vMerge w:val="continue"/>
          </w:tcPr>
          <w:p>
            <w:pPr>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bidi w:val="0"/>
              <w:rPr>
                <w:rFonts w:hint="eastAsia"/>
                <w:lang w:val="en-US" w:eastAsia="zh-CN"/>
              </w:rPr>
            </w:pPr>
            <w:r>
              <w:rPr>
                <w:rFonts w:hint="eastAsia"/>
                <w:lang w:val="en-US" w:eastAsia="zh-CN"/>
              </w:rPr>
              <w:t>组织的岗位、职责和权限</w:t>
            </w:r>
          </w:p>
          <w:p>
            <w:pPr>
              <w:bidi w:val="0"/>
              <w:rPr>
                <w:rFonts w:hint="eastAsia"/>
                <w:lang w:val="en-US" w:eastAsia="zh-CN"/>
              </w:rPr>
            </w:pPr>
          </w:p>
        </w:tc>
        <w:tc>
          <w:tcPr>
            <w:tcW w:w="998" w:type="dxa"/>
          </w:tcPr>
          <w:p>
            <w:pPr>
              <w:bidi w:val="0"/>
              <w:rPr>
                <w:rFonts w:hint="eastAsia"/>
                <w:lang w:val="en-US" w:eastAsia="zh-CN"/>
              </w:rPr>
            </w:pPr>
            <w:r>
              <w:rPr>
                <w:rFonts w:hint="eastAsia"/>
                <w:lang w:val="en-US" w:eastAsia="zh-CN"/>
              </w:rPr>
              <w:t>QEO5.3</w:t>
            </w:r>
          </w:p>
        </w:tc>
        <w:tc>
          <w:tcPr>
            <w:tcW w:w="10004" w:type="dxa"/>
            <w:vAlign w:val="center"/>
          </w:tcPr>
          <w:p>
            <w:pPr>
              <w:spacing w:line="300" w:lineRule="exact"/>
              <w:ind w:firstLine="420" w:firstLineChars="200"/>
              <w:jc w:val="both"/>
              <w:rPr>
                <w:rFonts w:hint="eastAsia"/>
                <w:lang w:val="en-US" w:eastAsia="zh-CN"/>
              </w:rPr>
            </w:pPr>
            <w:r>
              <w:rPr>
                <w:rFonts w:hint="eastAsia"/>
                <w:lang w:val="en-US" w:eastAsia="zh-CN"/>
              </w:rPr>
              <w:t>组织岗位说明书中采购部的主要</w:t>
            </w:r>
            <w:r>
              <w:rPr>
                <w:rFonts w:hint="eastAsia"/>
              </w:rPr>
              <w:t>职能</w:t>
            </w:r>
            <w:r>
              <w:rPr>
                <w:rFonts w:hint="eastAsia"/>
                <w:lang w:val="en-US" w:eastAsia="zh-CN"/>
              </w:rPr>
              <w:t>如下：</w:t>
            </w:r>
          </w:p>
          <w:p>
            <w:pPr>
              <w:spacing w:line="300" w:lineRule="exact"/>
              <w:ind w:firstLine="420" w:firstLineChars="200"/>
              <w:jc w:val="both"/>
              <w:rPr>
                <w:rFonts w:hint="eastAsia"/>
                <w:lang w:val="en-US" w:eastAsia="zh-CN"/>
              </w:rPr>
            </w:pPr>
            <w:r>
              <w:rPr>
                <w:rFonts w:hint="eastAsia"/>
                <w:lang w:val="en-US" w:eastAsia="zh-CN"/>
              </w:rPr>
              <w:t>1负责设备的安装和维护、保养工作，保证在用设备完好率达标。</w:t>
            </w:r>
          </w:p>
          <w:p>
            <w:pPr>
              <w:spacing w:line="300" w:lineRule="exact"/>
              <w:ind w:firstLine="420" w:firstLineChars="200"/>
              <w:jc w:val="both"/>
              <w:rPr>
                <w:rFonts w:hint="eastAsia"/>
                <w:lang w:val="en-US" w:eastAsia="zh-CN"/>
              </w:rPr>
            </w:pPr>
            <w:r>
              <w:rPr>
                <w:rFonts w:hint="eastAsia"/>
                <w:lang w:val="en-US" w:eastAsia="zh-CN"/>
              </w:rPr>
              <w:t>2负责公用设施水、电、气的管理，确保正常供应。</w:t>
            </w:r>
          </w:p>
          <w:p>
            <w:pPr>
              <w:spacing w:line="300" w:lineRule="exact"/>
              <w:ind w:firstLine="420" w:firstLineChars="200"/>
              <w:jc w:val="both"/>
              <w:rPr>
                <w:rFonts w:hint="eastAsia"/>
                <w:lang w:val="en-US" w:eastAsia="zh-CN"/>
              </w:rPr>
            </w:pPr>
            <w:r>
              <w:rPr>
                <w:rFonts w:hint="eastAsia"/>
                <w:lang w:val="en-US" w:eastAsia="zh-CN"/>
              </w:rPr>
              <w:t>3根据车间生产要求的需要，制定出设备检修计划，并对计划的实施进行监督、检查。</w:t>
            </w:r>
          </w:p>
          <w:p>
            <w:pPr>
              <w:spacing w:line="300" w:lineRule="exact"/>
              <w:ind w:firstLine="420" w:firstLineChars="200"/>
              <w:jc w:val="both"/>
              <w:rPr>
                <w:rFonts w:hint="eastAsia"/>
                <w:lang w:val="en-US" w:eastAsia="zh-CN"/>
              </w:rPr>
            </w:pPr>
            <w:r>
              <w:rPr>
                <w:rFonts w:hint="eastAsia"/>
                <w:lang w:val="en-US" w:eastAsia="zh-CN"/>
              </w:rPr>
              <w:t>4紧急问题应及时组织人员抢修，保证设施的正常运转。</w:t>
            </w:r>
          </w:p>
          <w:p>
            <w:pPr>
              <w:spacing w:line="300" w:lineRule="exact"/>
              <w:ind w:firstLine="420" w:firstLineChars="200"/>
              <w:jc w:val="both"/>
              <w:rPr>
                <w:rFonts w:hint="eastAsia"/>
                <w:lang w:val="en-US" w:eastAsia="zh-CN"/>
              </w:rPr>
            </w:pPr>
            <w:r>
              <w:rPr>
                <w:rFonts w:hint="eastAsia"/>
                <w:lang w:val="en-US" w:eastAsia="zh-CN"/>
              </w:rPr>
              <w:t>5参与生产车间的技术改造、安装、设备优化选型。</w:t>
            </w:r>
          </w:p>
          <w:p>
            <w:pPr>
              <w:spacing w:line="300" w:lineRule="exact"/>
              <w:ind w:firstLine="420" w:firstLineChars="200"/>
              <w:jc w:val="both"/>
              <w:rPr>
                <w:rFonts w:hint="eastAsia"/>
                <w:lang w:val="en-US" w:eastAsia="zh-CN"/>
              </w:rPr>
            </w:pPr>
            <w:r>
              <w:rPr>
                <w:rFonts w:hint="eastAsia"/>
                <w:lang w:val="en-US" w:eastAsia="zh-CN"/>
              </w:rPr>
              <w:t>6负责内、外加工件的技术指导及审批工作。</w:t>
            </w:r>
          </w:p>
          <w:p>
            <w:pPr>
              <w:spacing w:line="300" w:lineRule="exact"/>
              <w:ind w:firstLine="420" w:firstLineChars="200"/>
              <w:jc w:val="both"/>
              <w:rPr>
                <w:rFonts w:hint="eastAsia"/>
                <w:lang w:val="en-US" w:eastAsia="zh-CN"/>
              </w:rPr>
            </w:pPr>
            <w:r>
              <w:rPr>
                <w:rFonts w:hint="eastAsia"/>
                <w:lang w:val="en-US" w:eastAsia="zh-CN"/>
              </w:rPr>
              <w:t>7负责部门的体系运行、安全管理与规范操作。</w:t>
            </w:r>
          </w:p>
          <w:p>
            <w:pPr>
              <w:spacing w:line="300" w:lineRule="exact"/>
              <w:ind w:firstLine="420" w:firstLineChars="200"/>
              <w:jc w:val="both"/>
              <w:rPr>
                <w:rFonts w:hint="eastAsia"/>
                <w:lang w:val="en-US" w:eastAsia="zh-CN"/>
              </w:rPr>
            </w:pPr>
            <w:r>
              <w:rPr>
                <w:rFonts w:hint="eastAsia"/>
                <w:lang w:val="en-US" w:eastAsia="zh-CN"/>
              </w:rPr>
              <w:t>8负责设备的安全操作和安全知识的教育和培训工作。</w:t>
            </w:r>
          </w:p>
          <w:p>
            <w:pPr>
              <w:spacing w:line="300" w:lineRule="exact"/>
              <w:ind w:firstLine="420" w:firstLineChars="200"/>
              <w:jc w:val="both"/>
              <w:rPr>
                <w:rFonts w:hint="eastAsia"/>
                <w:lang w:val="en-US" w:eastAsia="zh-CN"/>
              </w:rPr>
            </w:pPr>
            <w:r>
              <w:rPr>
                <w:rFonts w:hint="eastAsia"/>
                <w:lang w:val="en-US" w:eastAsia="zh-CN"/>
              </w:rPr>
              <w:t>9负责做好部门人员的人事、培训、监督、考核管理工作</w:t>
            </w:r>
          </w:p>
          <w:p>
            <w:pPr>
              <w:spacing w:line="300" w:lineRule="exact"/>
              <w:ind w:firstLine="420" w:firstLineChars="200"/>
              <w:jc w:val="both"/>
              <w:rPr>
                <w:rFonts w:hint="eastAsia"/>
                <w:lang w:val="en-US" w:eastAsia="zh-CN"/>
              </w:rPr>
            </w:pPr>
            <w:r>
              <w:rPr>
                <w:rFonts w:hint="eastAsia"/>
                <w:lang w:val="en-US" w:eastAsia="zh-CN"/>
              </w:rPr>
              <w:t>10教育、引导员工优质、优绩的工作态度，提高维修质量，减少返修率。</w:t>
            </w:r>
          </w:p>
          <w:p>
            <w:pPr>
              <w:spacing w:line="300" w:lineRule="exact"/>
              <w:ind w:firstLine="420" w:firstLineChars="200"/>
              <w:jc w:val="both"/>
              <w:rPr>
                <w:rFonts w:hint="eastAsia"/>
                <w:lang w:val="en-US" w:eastAsia="zh-CN"/>
              </w:rPr>
            </w:pPr>
            <w:r>
              <w:rPr>
                <w:rFonts w:hint="eastAsia"/>
                <w:lang w:val="en-US" w:eastAsia="zh-CN"/>
              </w:rPr>
              <w:t>11完成上级领导交办的其他工作。</w:t>
            </w:r>
          </w:p>
          <w:p>
            <w:pPr>
              <w:bidi w:val="0"/>
              <w:rPr>
                <w:rFonts w:hint="eastAsia"/>
                <w:lang w:val="en-US" w:eastAsia="zh-CN"/>
              </w:rPr>
            </w:pPr>
            <w:r>
              <w:rPr>
                <w:rFonts w:hint="eastAsia" w:ascii="Times New Roman" w:hAnsi="Times New Roman" w:cs="Times New Roman"/>
                <w:lang w:val="en-US" w:eastAsia="zh-CN"/>
              </w:rPr>
              <w:t>与</w:t>
            </w:r>
            <w:r>
              <w:rPr>
                <w:rFonts w:hint="eastAsia" w:cs="Times New Roman"/>
                <w:lang w:val="en-US" w:eastAsia="zh-CN"/>
              </w:rPr>
              <w:t>采购部</w:t>
            </w:r>
            <w:r>
              <w:rPr>
                <w:rFonts w:hint="eastAsia" w:ascii="Times New Roman" w:hAnsi="Times New Roman" w:cs="Times New Roman"/>
                <w:lang w:val="en-US" w:eastAsia="zh-CN"/>
              </w:rPr>
              <w:t>负责人</w:t>
            </w:r>
            <w:r>
              <w:rPr>
                <w:rFonts w:hint="eastAsia" w:ascii="华文细黑" w:hAnsi="华文细黑" w:cs="华文细黑"/>
                <w:sz w:val="21"/>
                <w:szCs w:val="21"/>
                <w:lang w:eastAsia="zh-CN"/>
              </w:rPr>
              <w:t>胡新成</w:t>
            </w:r>
            <w:r>
              <w:rPr>
                <w:rFonts w:hint="eastAsia" w:ascii="Times New Roman" w:hAnsi="Times New Roman" w:cs="Times New Roman"/>
                <w:lang w:val="en-US" w:eastAsia="zh-CN"/>
              </w:rPr>
              <w:t>沟通，对其该部门的职责和权限基本清楚，符合要求。</w:t>
            </w:r>
          </w:p>
        </w:tc>
        <w:tc>
          <w:tcPr>
            <w:tcW w:w="1585" w:type="dxa"/>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2122" w:type="dxa"/>
          </w:tcPr>
          <w:p>
            <w:pPr>
              <w:bidi w:val="0"/>
              <w:rPr>
                <w:rFonts w:hint="eastAsia"/>
                <w:lang w:val="en-US" w:eastAsia="zh-CN"/>
              </w:rPr>
            </w:pPr>
            <w:r>
              <w:rPr>
                <w:rFonts w:hint="eastAsia"/>
                <w:lang w:val="en-US" w:eastAsia="zh-CN"/>
              </w:rPr>
              <w:t>环境因素识别、危险源识别</w:t>
            </w:r>
          </w:p>
        </w:tc>
        <w:tc>
          <w:tcPr>
            <w:tcW w:w="998" w:type="dxa"/>
          </w:tcPr>
          <w:p>
            <w:pPr>
              <w:bidi w:val="0"/>
              <w:rPr>
                <w:rFonts w:hint="eastAsia"/>
                <w:lang w:val="en-US" w:eastAsia="zh-CN"/>
              </w:rPr>
            </w:pPr>
            <w:r>
              <w:rPr>
                <w:rFonts w:hint="eastAsia"/>
                <w:lang w:val="en-US" w:eastAsia="zh-CN"/>
              </w:rPr>
              <w:t>EO6.1.2</w:t>
            </w:r>
          </w:p>
        </w:tc>
        <w:tc>
          <w:tcPr>
            <w:tcW w:w="10004" w:type="dxa"/>
            <w:vAlign w:val="center"/>
          </w:tcPr>
          <w:p>
            <w:pPr>
              <w:spacing w:line="280" w:lineRule="exact"/>
              <w:ind w:firstLine="420" w:firstLineChars="200"/>
              <w:rPr>
                <w:rFonts w:hint="default" w:ascii="华文细黑" w:hAnsi="华文细黑" w:eastAsia="华文细黑" w:cs="华文细黑"/>
                <w:color w:val="auto"/>
                <w:sz w:val="21"/>
                <w:szCs w:val="21"/>
                <w:lang w:val="en-US" w:eastAsia="zh-CN"/>
              </w:rPr>
            </w:pPr>
            <w:r>
              <w:rPr>
                <w:rFonts w:hint="eastAsia" w:ascii="华文细黑" w:hAnsi="华文细黑" w:cs="华文细黑"/>
                <w:color w:val="auto"/>
                <w:sz w:val="21"/>
                <w:szCs w:val="21"/>
                <w:lang w:val="en-US" w:eastAsia="zh-CN"/>
              </w:rPr>
              <w:t>采购部根据</w:t>
            </w:r>
            <w:r>
              <w:rPr>
                <w:rFonts w:hint="eastAsia" w:ascii="华文细黑" w:hAnsi="华文细黑" w:eastAsia="华文细黑" w:cs="华文细黑"/>
                <w:color w:val="auto"/>
                <w:sz w:val="21"/>
                <w:szCs w:val="21"/>
                <w:lang w:val="en-US" w:eastAsia="zh-CN"/>
              </w:rPr>
              <w:t>手册第6.1.2条款、《危险源和环境因素识别、评价控制程序》</w:t>
            </w:r>
            <w:r>
              <w:rPr>
                <w:rFonts w:hint="eastAsia" w:ascii="华文细黑" w:hAnsi="华文细黑" w:cs="华文细黑"/>
                <w:color w:val="auto"/>
                <w:sz w:val="21"/>
                <w:szCs w:val="21"/>
                <w:lang w:val="en-US" w:eastAsia="zh-CN"/>
              </w:rPr>
              <w:t>，在</w:t>
            </w:r>
            <w:r>
              <w:rPr>
                <w:rFonts w:hint="eastAsia" w:ascii="华文细黑" w:hAnsi="华文细黑" w:cs="华文细黑"/>
                <w:color w:val="auto"/>
                <w:sz w:val="21"/>
                <w:szCs w:val="21"/>
                <w:lang w:eastAsia="zh-CN"/>
              </w:rPr>
              <w:t>安环部</w:t>
            </w:r>
            <w:r>
              <w:rPr>
                <w:rFonts w:hint="eastAsia" w:ascii="华文细黑" w:hAnsi="华文细黑" w:eastAsia="华文细黑" w:cs="华文细黑"/>
                <w:color w:val="auto"/>
                <w:sz w:val="21"/>
                <w:szCs w:val="21"/>
              </w:rPr>
              <w:t>指导</w:t>
            </w:r>
            <w:r>
              <w:rPr>
                <w:rFonts w:hint="eastAsia" w:ascii="华文细黑" w:hAnsi="华文细黑" w:cs="华文细黑"/>
                <w:color w:val="auto"/>
                <w:sz w:val="21"/>
                <w:szCs w:val="21"/>
                <w:lang w:val="en-US" w:eastAsia="zh-CN"/>
              </w:rPr>
              <w:t>下</w:t>
            </w:r>
            <w:r>
              <w:rPr>
                <w:rFonts w:hint="eastAsia" w:ascii="华文细黑" w:hAnsi="华文细黑" w:eastAsia="华文细黑" w:cs="华文细黑"/>
                <w:color w:val="auto"/>
                <w:sz w:val="21"/>
                <w:szCs w:val="21"/>
              </w:rPr>
              <w:t>调查、评价</w:t>
            </w:r>
            <w:r>
              <w:rPr>
                <w:rFonts w:hint="eastAsia" w:ascii="华文细黑" w:hAnsi="华文细黑" w:cs="华文细黑"/>
                <w:color w:val="auto"/>
                <w:sz w:val="21"/>
                <w:szCs w:val="21"/>
                <w:lang w:val="en-US" w:eastAsia="zh-CN"/>
              </w:rPr>
              <w:t>部门内涉及的环境因素。</w:t>
            </w:r>
          </w:p>
          <w:p>
            <w:pPr>
              <w:spacing w:line="280" w:lineRule="exact"/>
              <w:ind w:firstLine="420" w:firstLineChars="200"/>
              <w:rPr>
                <w:rFonts w:hint="eastAsia" w:ascii="华文细黑" w:hAnsi="华文细黑" w:eastAsia="华文细黑" w:cs="华文细黑"/>
                <w:color w:val="auto"/>
                <w:sz w:val="21"/>
                <w:szCs w:val="21"/>
                <w:lang w:val="en-US" w:eastAsia="zh-CN"/>
              </w:rPr>
            </w:pPr>
            <w:r>
              <w:rPr>
                <w:rFonts w:hint="eastAsia" w:ascii="华文细黑" w:hAnsi="华文细黑" w:eastAsia="华文细黑" w:cs="华文细黑"/>
                <w:color w:val="auto"/>
                <w:sz w:val="21"/>
                <w:szCs w:val="21"/>
                <w:lang w:val="en-US" w:eastAsia="zh-CN"/>
              </w:rPr>
              <w:t>抽查组织</w:t>
            </w:r>
            <w:r>
              <w:rPr>
                <w:rFonts w:hint="eastAsia" w:ascii="华文细黑" w:hAnsi="华文细黑" w:cs="华文细黑"/>
                <w:bCs w:val="0"/>
                <w:color w:val="auto"/>
                <w:spacing w:val="0"/>
                <w:kern w:val="2"/>
                <w:sz w:val="21"/>
                <w:szCs w:val="21"/>
                <w:lang w:val="en-US" w:eastAsia="zh-CN" w:bidi="ar-SA"/>
              </w:rPr>
              <w:t>2022.1.10识别确定的</w:t>
            </w:r>
            <w:r>
              <w:rPr>
                <w:rFonts w:hint="eastAsia" w:ascii="华文细黑" w:hAnsi="华文细黑" w:eastAsia="华文细黑" w:cs="华文细黑"/>
                <w:color w:val="auto"/>
                <w:sz w:val="21"/>
                <w:szCs w:val="21"/>
                <w:lang w:val="en-US" w:eastAsia="zh-CN"/>
              </w:rPr>
              <w:t>《</w:t>
            </w:r>
            <w:r>
              <w:rPr>
                <w:rFonts w:hint="eastAsia" w:ascii="华文细黑" w:hAnsi="华文细黑" w:eastAsia="华文细黑" w:cs="华文细黑"/>
                <w:color w:val="auto"/>
                <w:sz w:val="21"/>
                <w:szCs w:val="21"/>
              </w:rPr>
              <w:t>重要环境因素清单</w:t>
            </w:r>
            <w:r>
              <w:rPr>
                <w:rFonts w:hint="eastAsia" w:ascii="华文细黑" w:hAnsi="华文细黑" w:eastAsia="华文细黑" w:cs="华文细黑"/>
                <w:color w:val="auto"/>
                <w:sz w:val="21"/>
                <w:szCs w:val="21"/>
                <w:lang w:val="en-US" w:eastAsia="zh-CN"/>
              </w:rPr>
              <w:t>》</w:t>
            </w:r>
            <w:r>
              <w:rPr>
                <w:rFonts w:hint="eastAsia" w:ascii="华文细黑" w:hAnsi="华文细黑" w:cs="华文细黑"/>
                <w:color w:val="auto"/>
                <w:sz w:val="21"/>
                <w:szCs w:val="21"/>
                <w:lang w:val="en-US" w:eastAsia="zh-CN"/>
              </w:rPr>
              <w:t>，涉及采购部的</w:t>
            </w:r>
            <w:r>
              <w:rPr>
                <w:rFonts w:hint="eastAsia" w:ascii="华文细黑" w:hAnsi="华文细黑" w:eastAsia="华文细黑" w:cs="华文细黑"/>
                <w:color w:val="auto"/>
                <w:sz w:val="21"/>
                <w:szCs w:val="21"/>
                <w:lang w:val="en-US" w:eastAsia="zh-CN"/>
              </w:rPr>
              <w:t>内容如下：</w:t>
            </w:r>
          </w:p>
          <w:tbl>
            <w:tblPr>
              <w:tblStyle w:val="10"/>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771"/>
              <w:gridCol w:w="880"/>
              <w:gridCol w:w="1081"/>
              <w:gridCol w:w="1300"/>
              <w:gridCol w:w="741"/>
              <w:gridCol w:w="3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57" w:type="dxa"/>
                  <w:noWrap w:val="0"/>
                  <w:vAlign w:val="center"/>
                </w:tcPr>
                <w:p>
                  <w:pPr>
                    <w:jc w:val="center"/>
                    <w:rPr>
                      <w:rFonts w:hint="eastAsia" w:hAnsi="宋体" w:cs="宋体"/>
                      <w:color w:val="000000"/>
                      <w:sz w:val="21"/>
                      <w:szCs w:val="21"/>
                    </w:rPr>
                  </w:pPr>
                  <w:r>
                    <w:rPr>
                      <w:rFonts w:hint="eastAsia" w:hAnsi="宋体" w:cs="宋体"/>
                      <w:color w:val="000000"/>
                      <w:sz w:val="21"/>
                      <w:szCs w:val="21"/>
                    </w:rPr>
                    <w:t>序号</w:t>
                  </w:r>
                </w:p>
              </w:tc>
              <w:tc>
                <w:tcPr>
                  <w:tcW w:w="1771" w:type="dxa"/>
                  <w:noWrap w:val="0"/>
                  <w:vAlign w:val="center"/>
                </w:tcPr>
                <w:p>
                  <w:pPr>
                    <w:jc w:val="center"/>
                    <w:rPr>
                      <w:rFonts w:hint="eastAsia" w:hAnsi="宋体" w:cs="宋体"/>
                      <w:color w:val="000000"/>
                      <w:sz w:val="21"/>
                      <w:szCs w:val="21"/>
                    </w:rPr>
                  </w:pPr>
                  <w:r>
                    <w:rPr>
                      <w:rFonts w:hint="eastAsia" w:hAnsi="宋体" w:cs="宋体"/>
                      <w:color w:val="000000"/>
                      <w:sz w:val="21"/>
                      <w:szCs w:val="21"/>
                    </w:rPr>
                    <w:t>重要环境因素</w:t>
                  </w:r>
                </w:p>
              </w:tc>
              <w:tc>
                <w:tcPr>
                  <w:tcW w:w="880" w:type="dxa"/>
                  <w:noWrap w:val="0"/>
                  <w:vAlign w:val="center"/>
                </w:tcPr>
                <w:p>
                  <w:pPr>
                    <w:jc w:val="center"/>
                    <w:rPr>
                      <w:rFonts w:hint="eastAsia" w:hAnsi="宋体" w:cs="宋体"/>
                      <w:color w:val="000000"/>
                      <w:sz w:val="21"/>
                      <w:szCs w:val="21"/>
                    </w:rPr>
                  </w:pPr>
                  <w:r>
                    <w:rPr>
                      <w:rFonts w:hint="eastAsia" w:hAnsi="宋体" w:cs="宋体"/>
                      <w:color w:val="000000"/>
                      <w:sz w:val="21"/>
                      <w:szCs w:val="21"/>
                    </w:rPr>
                    <w:t>污染物</w:t>
                  </w:r>
                </w:p>
                <w:p>
                  <w:pPr>
                    <w:jc w:val="center"/>
                    <w:rPr>
                      <w:rFonts w:hint="eastAsia" w:hAnsi="宋体" w:cs="宋体"/>
                      <w:color w:val="000000"/>
                      <w:sz w:val="21"/>
                      <w:szCs w:val="21"/>
                    </w:rPr>
                  </w:pPr>
                  <w:r>
                    <w:rPr>
                      <w:rFonts w:hint="eastAsia" w:hAnsi="宋体" w:cs="宋体"/>
                      <w:color w:val="000000"/>
                      <w:sz w:val="21"/>
                      <w:szCs w:val="21"/>
                    </w:rPr>
                    <w:t>类型</w:t>
                  </w:r>
                </w:p>
              </w:tc>
              <w:tc>
                <w:tcPr>
                  <w:tcW w:w="1081" w:type="dxa"/>
                  <w:noWrap w:val="0"/>
                  <w:vAlign w:val="center"/>
                </w:tcPr>
                <w:p>
                  <w:pPr>
                    <w:jc w:val="center"/>
                    <w:rPr>
                      <w:rFonts w:hint="eastAsia" w:hAnsi="宋体" w:cs="宋体"/>
                      <w:color w:val="000000"/>
                      <w:sz w:val="21"/>
                      <w:szCs w:val="21"/>
                    </w:rPr>
                  </w:pPr>
                  <w:r>
                    <w:rPr>
                      <w:rFonts w:hint="eastAsia" w:hAnsi="宋体" w:cs="宋体"/>
                      <w:color w:val="000000"/>
                      <w:sz w:val="21"/>
                      <w:szCs w:val="21"/>
                    </w:rPr>
                    <w:t>生产活动场所</w:t>
                  </w:r>
                </w:p>
              </w:tc>
              <w:tc>
                <w:tcPr>
                  <w:tcW w:w="1300" w:type="dxa"/>
                  <w:noWrap w:val="0"/>
                  <w:vAlign w:val="center"/>
                </w:tcPr>
                <w:p>
                  <w:pPr>
                    <w:jc w:val="center"/>
                    <w:rPr>
                      <w:rFonts w:hint="eastAsia" w:hAnsi="宋体" w:cs="宋体"/>
                      <w:bCs/>
                      <w:sz w:val="21"/>
                      <w:szCs w:val="21"/>
                    </w:rPr>
                  </w:pPr>
                  <w:r>
                    <w:rPr>
                      <w:rFonts w:hint="eastAsia" w:hAnsi="宋体" w:cs="宋体"/>
                      <w:bCs/>
                      <w:sz w:val="21"/>
                      <w:szCs w:val="21"/>
                    </w:rPr>
                    <w:t>责任部门</w:t>
                  </w:r>
                </w:p>
              </w:tc>
              <w:tc>
                <w:tcPr>
                  <w:tcW w:w="741" w:type="dxa"/>
                  <w:noWrap w:val="0"/>
                  <w:vAlign w:val="center"/>
                </w:tcPr>
                <w:p>
                  <w:pPr>
                    <w:jc w:val="center"/>
                    <w:rPr>
                      <w:rFonts w:hint="eastAsia" w:hAnsi="宋体" w:cs="宋体"/>
                      <w:color w:val="000000"/>
                      <w:sz w:val="21"/>
                      <w:szCs w:val="21"/>
                    </w:rPr>
                  </w:pPr>
                  <w:r>
                    <w:rPr>
                      <w:rFonts w:hint="eastAsia" w:hAnsi="宋体" w:cs="宋体"/>
                      <w:color w:val="000000"/>
                      <w:sz w:val="21"/>
                      <w:szCs w:val="21"/>
                    </w:rPr>
                    <w:t>评价</w:t>
                  </w:r>
                </w:p>
                <w:p>
                  <w:pPr>
                    <w:jc w:val="center"/>
                    <w:rPr>
                      <w:rFonts w:hint="eastAsia" w:hAnsi="宋体" w:cs="宋体"/>
                      <w:color w:val="000000"/>
                      <w:sz w:val="21"/>
                      <w:szCs w:val="21"/>
                    </w:rPr>
                  </w:pPr>
                  <w:r>
                    <w:rPr>
                      <w:rFonts w:hint="eastAsia" w:hAnsi="宋体" w:cs="宋体"/>
                      <w:color w:val="000000"/>
                      <w:sz w:val="21"/>
                      <w:szCs w:val="21"/>
                    </w:rPr>
                    <w:t>结果</w:t>
                  </w:r>
                </w:p>
              </w:tc>
              <w:tc>
                <w:tcPr>
                  <w:tcW w:w="3467" w:type="dxa"/>
                  <w:noWrap w:val="0"/>
                  <w:vAlign w:val="center"/>
                </w:tcPr>
                <w:p>
                  <w:pPr>
                    <w:jc w:val="center"/>
                    <w:rPr>
                      <w:rFonts w:hint="eastAsia" w:hAnsi="宋体" w:cs="宋体"/>
                      <w:color w:val="000000"/>
                      <w:sz w:val="21"/>
                      <w:szCs w:val="21"/>
                    </w:rPr>
                  </w:pPr>
                  <w:r>
                    <w:rPr>
                      <w:rFonts w:hint="eastAsia" w:hAnsi="宋体" w:cs="宋体"/>
                      <w:color w:val="000000"/>
                      <w:sz w:val="21"/>
                      <w:szCs w:val="21"/>
                    </w:rPr>
                    <w:t>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557" w:type="dxa"/>
                  <w:noWrap w:val="0"/>
                  <w:vAlign w:val="center"/>
                </w:tcPr>
                <w:p>
                  <w:pPr>
                    <w:jc w:val="center"/>
                    <w:rPr>
                      <w:rFonts w:hint="eastAsia" w:hAnsi="宋体" w:cs="宋体"/>
                      <w:color w:val="000000"/>
                      <w:sz w:val="21"/>
                      <w:szCs w:val="21"/>
                    </w:rPr>
                  </w:pPr>
                  <w:r>
                    <w:rPr>
                      <w:rFonts w:hint="eastAsia" w:hAnsi="宋体" w:cs="宋体"/>
                      <w:color w:val="000000"/>
                      <w:sz w:val="21"/>
                      <w:szCs w:val="21"/>
                    </w:rPr>
                    <w:t>1</w:t>
                  </w:r>
                </w:p>
              </w:tc>
              <w:tc>
                <w:tcPr>
                  <w:tcW w:w="1771" w:type="dxa"/>
                  <w:noWrap w:val="0"/>
                  <w:vAlign w:val="center"/>
                </w:tcPr>
                <w:p>
                  <w:pPr>
                    <w:rPr>
                      <w:rFonts w:hint="eastAsia" w:hAnsi="宋体" w:cs="宋体"/>
                      <w:bCs/>
                      <w:color w:val="000000"/>
                      <w:sz w:val="21"/>
                      <w:szCs w:val="21"/>
                    </w:rPr>
                  </w:pPr>
                  <w:r>
                    <w:rPr>
                      <w:rFonts w:hint="eastAsia" w:hAnsi="宋体" w:cs="宋体"/>
                      <w:color w:val="000000"/>
                      <w:sz w:val="21"/>
                      <w:szCs w:val="21"/>
                    </w:rPr>
                    <w:t>固体废弃物</w:t>
                  </w:r>
                  <w:r>
                    <w:rPr>
                      <w:rFonts w:hint="eastAsia" w:hAnsi="宋体" w:cs="宋体"/>
                      <w:bCs/>
                      <w:color w:val="000000"/>
                      <w:sz w:val="21"/>
                      <w:szCs w:val="21"/>
                    </w:rPr>
                    <w:t>（生活</w:t>
                  </w:r>
                </w:p>
                <w:p>
                  <w:pPr>
                    <w:rPr>
                      <w:rFonts w:hint="eastAsia" w:hAnsi="宋体" w:cs="宋体"/>
                      <w:color w:val="000000"/>
                      <w:sz w:val="21"/>
                      <w:szCs w:val="21"/>
                    </w:rPr>
                  </w:pPr>
                  <w:r>
                    <w:rPr>
                      <w:rFonts w:hint="eastAsia" w:hAnsi="宋体" w:cs="宋体"/>
                      <w:bCs/>
                      <w:color w:val="000000"/>
                      <w:sz w:val="21"/>
                      <w:szCs w:val="21"/>
                    </w:rPr>
                    <w:t>垃圾</w:t>
                  </w:r>
                  <w:r>
                    <w:rPr>
                      <w:rFonts w:hint="eastAsia" w:hAnsi="宋体" w:cs="宋体"/>
                      <w:color w:val="000000"/>
                      <w:sz w:val="21"/>
                      <w:szCs w:val="21"/>
                    </w:rPr>
                    <w:t>）的产生</w:t>
                  </w:r>
                </w:p>
              </w:tc>
              <w:tc>
                <w:tcPr>
                  <w:tcW w:w="880" w:type="dxa"/>
                  <w:noWrap w:val="0"/>
                  <w:vAlign w:val="center"/>
                </w:tcPr>
                <w:p>
                  <w:pPr>
                    <w:jc w:val="center"/>
                    <w:rPr>
                      <w:rFonts w:hint="eastAsia" w:hAnsi="宋体" w:cs="宋体"/>
                      <w:color w:val="000000"/>
                      <w:sz w:val="21"/>
                      <w:szCs w:val="21"/>
                    </w:rPr>
                  </w:pPr>
                  <w:r>
                    <w:rPr>
                      <w:rFonts w:hint="eastAsia" w:hAnsi="宋体" w:cs="宋体"/>
                      <w:color w:val="000000"/>
                      <w:sz w:val="21"/>
                      <w:szCs w:val="21"/>
                    </w:rPr>
                    <w:t>渣</w:t>
                  </w:r>
                </w:p>
              </w:tc>
              <w:tc>
                <w:tcPr>
                  <w:tcW w:w="1081" w:type="dxa"/>
                  <w:noWrap w:val="0"/>
                  <w:vAlign w:val="center"/>
                </w:tcPr>
                <w:p>
                  <w:pPr>
                    <w:jc w:val="center"/>
                    <w:rPr>
                      <w:rFonts w:hint="eastAsia" w:hAnsi="宋体" w:cs="宋体"/>
                      <w:color w:val="000000"/>
                      <w:sz w:val="21"/>
                      <w:szCs w:val="21"/>
                    </w:rPr>
                  </w:pPr>
                  <w:r>
                    <w:rPr>
                      <w:rFonts w:hint="eastAsia" w:hAnsi="宋体" w:cs="宋体"/>
                      <w:color w:val="000000"/>
                      <w:sz w:val="21"/>
                      <w:szCs w:val="21"/>
                    </w:rPr>
                    <w:t>办公区域</w:t>
                  </w:r>
                </w:p>
              </w:tc>
              <w:tc>
                <w:tcPr>
                  <w:tcW w:w="1300" w:type="dxa"/>
                  <w:noWrap w:val="0"/>
                  <w:vAlign w:val="center"/>
                </w:tcPr>
                <w:p>
                  <w:pPr>
                    <w:jc w:val="center"/>
                    <w:rPr>
                      <w:rFonts w:hint="eastAsia" w:hAnsi="宋体" w:eastAsia="华文细黑" w:cs="宋体"/>
                      <w:bCs/>
                      <w:sz w:val="21"/>
                      <w:szCs w:val="21"/>
                      <w:lang w:eastAsia="zh-CN"/>
                    </w:rPr>
                  </w:pPr>
                  <w:r>
                    <w:rPr>
                      <w:rFonts w:hint="eastAsia" w:hAnsi="宋体" w:cs="宋体"/>
                      <w:sz w:val="21"/>
                      <w:szCs w:val="21"/>
                      <w:lang w:eastAsia="zh-CN"/>
                    </w:rPr>
                    <w:t>采购部</w:t>
                  </w:r>
                </w:p>
              </w:tc>
              <w:tc>
                <w:tcPr>
                  <w:tcW w:w="741" w:type="dxa"/>
                  <w:noWrap w:val="0"/>
                  <w:vAlign w:val="center"/>
                </w:tcPr>
                <w:p>
                  <w:pPr>
                    <w:jc w:val="center"/>
                    <w:rPr>
                      <w:rFonts w:hint="eastAsia" w:hAnsi="宋体" w:cs="宋体"/>
                      <w:color w:val="000000"/>
                      <w:sz w:val="21"/>
                      <w:szCs w:val="21"/>
                    </w:rPr>
                  </w:pPr>
                  <w:r>
                    <w:rPr>
                      <w:rFonts w:hint="eastAsia" w:hAnsi="宋体" w:cs="宋体"/>
                      <w:color w:val="000000"/>
                      <w:sz w:val="21"/>
                      <w:szCs w:val="21"/>
                    </w:rPr>
                    <w:t>重大</w:t>
                  </w:r>
                </w:p>
              </w:tc>
              <w:tc>
                <w:tcPr>
                  <w:tcW w:w="3467" w:type="dxa"/>
                  <w:noWrap w:val="0"/>
                  <w:vAlign w:val="center"/>
                </w:tcPr>
                <w:p>
                  <w:pPr>
                    <w:numPr>
                      <w:ilvl w:val="0"/>
                      <w:numId w:val="2"/>
                    </w:numPr>
                    <w:rPr>
                      <w:rFonts w:hint="eastAsia" w:hAnsi="宋体" w:cs="宋体"/>
                      <w:color w:val="000000"/>
                      <w:sz w:val="21"/>
                      <w:szCs w:val="21"/>
                    </w:rPr>
                  </w:pPr>
                  <w:r>
                    <w:rPr>
                      <w:rFonts w:hint="eastAsia" w:hAnsi="宋体" w:cs="宋体"/>
                      <w:color w:val="000000"/>
                      <w:sz w:val="21"/>
                      <w:szCs w:val="21"/>
                    </w:rPr>
                    <w:t>制定废弃物管理程序；</w:t>
                  </w:r>
                </w:p>
                <w:p>
                  <w:pPr>
                    <w:numPr>
                      <w:ilvl w:val="0"/>
                      <w:numId w:val="2"/>
                    </w:numPr>
                    <w:rPr>
                      <w:rFonts w:hint="eastAsia" w:hAnsi="宋体" w:cs="宋体"/>
                      <w:color w:val="000000"/>
                      <w:sz w:val="21"/>
                      <w:szCs w:val="21"/>
                    </w:rPr>
                  </w:pPr>
                  <w:r>
                    <w:rPr>
                      <w:rFonts w:hint="eastAsia" w:hAnsi="宋体" w:cs="宋体"/>
                      <w:color w:val="000000"/>
                      <w:sz w:val="21"/>
                      <w:szCs w:val="21"/>
                    </w:rPr>
                    <w:t>加强宣传培训、合理处置办公过程中产生的固体废弃物；</w:t>
                  </w:r>
                </w:p>
                <w:p>
                  <w:pPr>
                    <w:numPr>
                      <w:ilvl w:val="0"/>
                      <w:numId w:val="2"/>
                    </w:numPr>
                    <w:rPr>
                      <w:rFonts w:hint="eastAsia" w:hAnsi="宋体" w:cs="宋体"/>
                      <w:color w:val="000000"/>
                      <w:sz w:val="21"/>
                      <w:szCs w:val="21"/>
                    </w:rPr>
                  </w:pPr>
                  <w:r>
                    <w:rPr>
                      <w:rFonts w:hint="eastAsia" w:hAnsi="宋体" w:cs="宋体"/>
                      <w:color w:val="000000"/>
                      <w:sz w:val="21"/>
                      <w:szCs w:val="21"/>
                    </w:rPr>
                    <w:t>对固体废弃物分类进行验收，按分类要求具体组织实施。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557" w:type="dxa"/>
                  <w:noWrap w:val="0"/>
                  <w:vAlign w:val="center"/>
                </w:tcPr>
                <w:p>
                  <w:pPr>
                    <w:jc w:val="center"/>
                    <w:rPr>
                      <w:rFonts w:hint="eastAsia" w:hAnsi="宋体" w:eastAsia="华文细黑" w:cs="宋体"/>
                      <w:color w:val="000000"/>
                      <w:sz w:val="21"/>
                      <w:szCs w:val="21"/>
                      <w:lang w:eastAsia="zh-CN"/>
                    </w:rPr>
                  </w:pPr>
                  <w:r>
                    <w:rPr>
                      <w:rFonts w:hint="eastAsia" w:hAnsi="宋体" w:cs="宋体"/>
                      <w:color w:val="000000"/>
                      <w:sz w:val="21"/>
                      <w:szCs w:val="21"/>
                      <w:lang w:val="en-US" w:eastAsia="zh-CN"/>
                    </w:rPr>
                    <w:t>2</w:t>
                  </w:r>
                </w:p>
              </w:tc>
              <w:tc>
                <w:tcPr>
                  <w:tcW w:w="1771" w:type="dxa"/>
                  <w:noWrap w:val="0"/>
                  <w:vAlign w:val="center"/>
                </w:tcPr>
                <w:p>
                  <w:pPr>
                    <w:rPr>
                      <w:rFonts w:hint="eastAsia" w:hAnsi="宋体" w:cs="宋体"/>
                      <w:bCs/>
                      <w:color w:val="000000"/>
                      <w:sz w:val="21"/>
                      <w:szCs w:val="21"/>
                    </w:rPr>
                  </w:pPr>
                  <w:r>
                    <w:rPr>
                      <w:rFonts w:hint="eastAsia" w:hAnsi="宋体" w:cs="宋体"/>
                      <w:bCs/>
                      <w:color w:val="000000"/>
                      <w:sz w:val="21"/>
                      <w:szCs w:val="21"/>
                    </w:rPr>
                    <w:t>火灾爆炸的发生</w:t>
                  </w:r>
                </w:p>
              </w:tc>
              <w:tc>
                <w:tcPr>
                  <w:tcW w:w="880" w:type="dxa"/>
                  <w:noWrap w:val="0"/>
                  <w:vAlign w:val="center"/>
                </w:tcPr>
                <w:p>
                  <w:pPr>
                    <w:jc w:val="center"/>
                    <w:rPr>
                      <w:rFonts w:hint="eastAsia" w:hAnsi="宋体" w:cs="宋体"/>
                      <w:bCs/>
                      <w:color w:val="000000"/>
                      <w:sz w:val="21"/>
                      <w:szCs w:val="21"/>
                    </w:rPr>
                  </w:pPr>
                  <w:r>
                    <w:rPr>
                      <w:rFonts w:hint="eastAsia" w:hAnsi="宋体" w:cs="宋体"/>
                      <w:bCs/>
                      <w:color w:val="000000"/>
                      <w:sz w:val="21"/>
                      <w:szCs w:val="21"/>
                    </w:rPr>
                    <w:t>气、渣</w:t>
                  </w:r>
                </w:p>
              </w:tc>
              <w:tc>
                <w:tcPr>
                  <w:tcW w:w="1081" w:type="dxa"/>
                  <w:noWrap w:val="0"/>
                  <w:vAlign w:val="center"/>
                </w:tcPr>
                <w:p>
                  <w:pPr>
                    <w:rPr>
                      <w:rFonts w:hint="eastAsia" w:hAnsi="宋体" w:cs="宋体"/>
                      <w:bCs/>
                      <w:color w:val="000000"/>
                      <w:sz w:val="21"/>
                      <w:szCs w:val="21"/>
                    </w:rPr>
                  </w:pPr>
                  <w:r>
                    <w:rPr>
                      <w:rFonts w:hint="eastAsia" w:hAnsi="宋体" w:cs="宋体"/>
                      <w:color w:val="000000"/>
                      <w:sz w:val="21"/>
                      <w:szCs w:val="21"/>
                    </w:rPr>
                    <w:t>办公区域</w:t>
                  </w:r>
                </w:p>
              </w:tc>
              <w:tc>
                <w:tcPr>
                  <w:tcW w:w="1300" w:type="dxa"/>
                  <w:noWrap w:val="0"/>
                  <w:vAlign w:val="center"/>
                </w:tcPr>
                <w:p>
                  <w:pPr>
                    <w:jc w:val="center"/>
                    <w:rPr>
                      <w:rFonts w:hint="eastAsia" w:hAnsi="宋体" w:eastAsia="华文细黑" w:cs="宋体"/>
                      <w:sz w:val="21"/>
                      <w:szCs w:val="21"/>
                      <w:lang w:eastAsia="zh-CN"/>
                    </w:rPr>
                  </w:pPr>
                  <w:r>
                    <w:rPr>
                      <w:rFonts w:hint="eastAsia" w:hAnsi="宋体" w:cs="宋体"/>
                      <w:sz w:val="21"/>
                      <w:szCs w:val="21"/>
                      <w:lang w:eastAsia="zh-CN"/>
                    </w:rPr>
                    <w:t>采购部</w:t>
                  </w:r>
                </w:p>
              </w:tc>
              <w:tc>
                <w:tcPr>
                  <w:tcW w:w="741" w:type="dxa"/>
                  <w:noWrap w:val="0"/>
                  <w:vAlign w:val="center"/>
                </w:tcPr>
                <w:p>
                  <w:pPr>
                    <w:jc w:val="center"/>
                    <w:rPr>
                      <w:rFonts w:hint="eastAsia" w:hAnsi="宋体" w:cs="宋体"/>
                      <w:bCs/>
                      <w:color w:val="000000"/>
                      <w:sz w:val="21"/>
                      <w:szCs w:val="21"/>
                    </w:rPr>
                  </w:pPr>
                  <w:r>
                    <w:rPr>
                      <w:rFonts w:hint="eastAsia" w:hAnsi="宋体" w:cs="宋体"/>
                      <w:color w:val="000000"/>
                      <w:sz w:val="21"/>
                      <w:szCs w:val="21"/>
                    </w:rPr>
                    <w:t>重大</w:t>
                  </w:r>
                </w:p>
              </w:tc>
              <w:tc>
                <w:tcPr>
                  <w:tcW w:w="3467" w:type="dxa"/>
                  <w:noWrap w:val="0"/>
                  <w:vAlign w:val="center"/>
                </w:tcPr>
                <w:p>
                  <w:pPr>
                    <w:numPr>
                      <w:ilvl w:val="0"/>
                      <w:numId w:val="3"/>
                    </w:numPr>
                    <w:spacing w:before="36" w:after="36" w:line="0" w:lineRule="atLeast"/>
                    <w:rPr>
                      <w:rFonts w:hint="eastAsia" w:hAnsi="宋体" w:cs="宋体"/>
                      <w:sz w:val="21"/>
                      <w:szCs w:val="21"/>
                    </w:rPr>
                  </w:pPr>
                  <w:r>
                    <w:rPr>
                      <w:rFonts w:hint="eastAsia" w:hAnsi="宋体" w:cs="宋体"/>
                      <w:sz w:val="21"/>
                      <w:szCs w:val="21"/>
                    </w:rPr>
                    <w:t>建立应急准备和响应控制程序并由</w:t>
                  </w:r>
                  <w:r>
                    <w:rPr>
                      <w:rFonts w:hint="eastAsia" w:hAnsi="宋体" w:cs="宋体"/>
                      <w:sz w:val="21"/>
                      <w:szCs w:val="21"/>
                      <w:lang w:eastAsia="zh-CN"/>
                    </w:rPr>
                    <w:t>采购部</w:t>
                  </w:r>
                  <w:r>
                    <w:rPr>
                      <w:rFonts w:hint="eastAsia" w:hAnsi="宋体" w:cs="宋体"/>
                      <w:sz w:val="21"/>
                      <w:szCs w:val="21"/>
                    </w:rPr>
                    <w:t>组织贯彻实施；</w:t>
                  </w:r>
                </w:p>
                <w:p>
                  <w:pPr>
                    <w:numPr>
                      <w:ilvl w:val="0"/>
                      <w:numId w:val="3"/>
                    </w:numPr>
                    <w:spacing w:before="36" w:after="36" w:line="0" w:lineRule="atLeast"/>
                    <w:rPr>
                      <w:rFonts w:hint="eastAsia" w:hAnsi="宋体" w:cs="宋体"/>
                      <w:sz w:val="21"/>
                      <w:szCs w:val="21"/>
                    </w:rPr>
                  </w:pPr>
                  <w:r>
                    <w:rPr>
                      <w:rFonts w:hint="eastAsia" w:hAnsi="宋体" w:cs="宋体"/>
                      <w:sz w:val="21"/>
                      <w:szCs w:val="21"/>
                    </w:rPr>
                    <w:t>加强员工防范及爆炸、火灾知识的培训；</w:t>
                  </w:r>
                </w:p>
                <w:p>
                  <w:pPr>
                    <w:numPr>
                      <w:ilvl w:val="0"/>
                      <w:numId w:val="3"/>
                    </w:numPr>
                    <w:spacing w:before="36" w:after="36" w:line="0" w:lineRule="atLeast"/>
                    <w:rPr>
                      <w:rFonts w:hint="eastAsia" w:hAnsi="宋体" w:cs="宋体"/>
                      <w:sz w:val="21"/>
                      <w:szCs w:val="21"/>
                    </w:rPr>
                  </w:pPr>
                  <w:r>
                    <w:rPr>
                      <w:rFonts w:hint="eastAsia" w:hAnsi="宋体" w:cs="宋体"/>
                      <w:sz w:val="21"/>
                      <w:szCs w:val="21"/>
                    </w:rPr>
                    <w:t>检查办公场所配备的消防器材及设施，保证有效可靠使用。</w:t>
                  </w:r>
                </w:p>
              </w:tc>
            </w:tr>
          </w:tbl>
          <w:p>
            <w:pPr>
              <w:pStyle w:val="17"/>
              <w:ind w:firstLine="420" w:firstLineChars="200"/>
              <w:rPr>
                <w:rFonts w:hint="eastAsia" w:ascii="华文细黑" w:hAnsi="华文细黑" w:eastAsia="华文细黑" w:cs="华文细黑"/>
                <w:bCs w:val="0"/>
                <w:color w:val="auto"/>
                <w:spacing w:val="0"/>
                <w:kern w:val="2"/>
                <w:sz w:val="21"/>
                <w:szCs w:val="21"/>
                <w:lang w:val="en-US" w:eastAsia="zh-CN" w:bidi="ar-SA"/>
              </w:rPr>
            </w:pPr>
            <w:r>
              <w:rPr>
                <w:rFonts w:hint="eastAsia" w:ascii="华文细黑" w:hAnsi="华文细黑" w:eastAsia="华文细黑" w:cs="华文细黑"/>
                <w:bCs w:val="0"/>
                <w:color w:val="auto"/>
                <w:spacing w:val="0"/>
                <w:kern w:val="2"/>
                <w:sz w:val="21"/>
                <w:szCs w:val="21"/>
                <w:lang w:val="en-US" w:eastAsia="zh-CN" w:bidi="ar-SA"/>
              </w:rPr>
              <w:t>重要环境因素识别、评价与实际吻合，控制措施基本能够满足控制要求。</w:t>
            </w:r>
          </w:p>
          <w:p>
            <w:pPr>
              <w:spacing w:line="280" w:lineRule="exact"/>
              <w:ind w:firstLine="420" w:firstLineChars="200"/>
              <w:rPr>
                <w:rFonts w:hint="eastAsia" w:ascii="华文细黑" w:hAnsi="华文细黑" w:eastAsia="华文细黑" w:cs="华文细黑"/>
                <w:bCs w:val="0"/>
                <w:color w:val="auto"/>
                <w:spacing w:val="0"/>
                <w:kern w:val="2"/>
                <w:sz w:val="21"/>
                <w:szCs w:val="21"/>
                <w:lang w:val="en-US" w:eastAsia="zh-CN" w:bidi="ar-SA"/>
              </w:rPr>
            </w:pPr>
            <w:r>
              <w:rPr>
                <w:rFonts w:hint="eastAsia" w:ascii="华文细黑" w:hAnsi="华文细黑" w:cs="华文细黑"/>
                <w:color w:val="auto"/>
                <w:sz w:val="21"/>
                <w:szCs w:val="21"/>
                <w:lang w:val="en-US" w:eastAsia="zh-CN"/>
              </w:rPr>
              <w:t>采购部根据</w:t>
            </w:r>
            <w:r>
              <w:rPr>
                <w:rFonts w:hint="eastAsia" w:ascii="华文细黑" w:hAnsi="华文细黑" w:eastAsia="华文细黑" w:cs="华文细黑"/>
                <w:color w:val="auto"/>
                <w:sz w:val="21"/>
                <w:szCs w:val="21"/>
                <w:lang w:val="en-US" w:eastAsia="zh-CN"/>
              </w:rPr>
              <w:t>手册6.1.2条款、《危险源和环境因素识别、评价控制程序》要求</w:t>
            </w:r>
            <w:r>
              <w:rPr>
                <w:rFonts w:hint="eastAsia" w:ascii="华文细黑" w:hAnsi="华文细黑" w:eastAsia="华文细黑" w:cs="华文细黑"/>
                <w:bCs w:val="0"/>
                <w:color w:val="auto"/>
                <w:spacing w:val="0"/>
                <w:kern w:val="2"/>
                <w:sz w:val="21"/>
                <w:szCs w:val="21"/>
                <w:lang w:val="en-US" w:eastAsia="zh-CN" w:bidi="ar-SA"/>
              </w:rPr>
              <w:t>，</w:t>
            </w:r>
            <w:r>
              <w:rPr>
                <w:rFonts w:hint="eastAsia" w:ascii="华文细黑" w:hAnsi="华文细黑" w:cs="华文细黑"/>
                <w:bCs w:val="0"/>
                <w:color w:val="auto"/>
                <w:spacing w:val="0"/>
                <w:kern w:val="2"/>
                <w:sz w:val="21"/>
                <w:szCs w:val="21"/>
                <w:lang w:val="en-US" w:eastAsia="zh-CN" w:bidi="ar-SA"/>
              </w:rPr>
              <w:t>在安环部</w:t>
            </w:r>
            <w:r>
              <w:rPr>
                <w:rFonts w:hint="eastAsia" w:ascii="华文细黑" w:hAnsi="华文细黑" w:eastAsia="华文细黑" w:cs="华文细黑"/>
                <w:bCs w:val="0"/>
                <w:color w:val="auto"/>
                <w:spacing w:val="0"/>
                <w:kern w:val="2"/>
                <w:sz w:val="21"/>
                <w:szCs w:val="21"/>
                <w:lang w:val="en-US" w:eastAsia="zh-CN" w:bidi="ar-SA"/>
              </w:rPr>
              <w:t>指导</w:t>
            </w:r>
            <w:r>
              <w:rPr>
                <w:rFonts w:hint="eastAsia" w:ascii="华文细黑" w:hAnsi="华文细黑" w:cs="华文细黑"/>
                <w:bCs w:val="0"/>
                <w:color w:val="auto"/>
                <w:spacing w:val="0"/>
                <w:kern w:val="2"/>
                <w:sz w:val="21"/>
                <w:szCs w:val="21"/>
                <w:lang w:val="en-US" w:eastAsia="zh-CN" w:bidi="ar-SA"/>
              </w:rPr>
              <w:t>下开展</w:t>
            </w:r>
            <w:r>
              <w:rPr>
                <w:rFonts w:hint="eastAsia" w:ascii="华文细黑" w:hAnsi="华文细黑" w:eastAsia="华文细黑" w:cs="华文细黑"/>
                <w:bCs w:val="0"/>
                <w:color w:val="auto"/>
                <w:spacing w:val="0"/>
                <w:kern w:val="2"/>
                <w:sz w:val="21"/>
                <w:szCs w:val="21"/>
                <w:lang w:val="en-US" w:eastAsia="zh-CN" w:bidi="ar-SA"/>
              </w:rPr>
              <w:t>危险</w:t>
            </w:r>
            <w:r>
              <w:rPr>
                <w:rFonts w:hint="eastAsia" w:ascii="华文细黑" w:hAnsi="华文细黑" w:cs="华文细黑"/>
                <w:bCs w:val="0"/>
                <w:color w:val="auto"/>
                <w:spacing w:val="0"/>
                <w:kern w:val="2"/>
                <w:sz w:val="21"/>
                <w:szCs w:val="21"/>
                <w:lang w:val="en-US" w:eastAsia="zh-CN" w:bidi="ar-SA"/>
              </w:rPr>
              <w:t>源辨识</w:t>
            </w:r>
            <w:r>
              <w:rPr>
                <w:rFonts w:hint="eastAsia" w:ascii="华文细黑" w:hAnsi="华文细黑" w:eastAsia="华文细黑" w:cs="华文细黑"/>
                <w:bCs w:val="0"/>
                <w:color w:val="auto"/>
                <w:spacing w:val="0"/>
                <w:kern w:val="2"/>
                <w:sz w:val="21"/>
                <w:szCs w:val="21"/>
                <w:lang w:val="en-US" w:eastAsia="zh-CN" w:bidi="ar-SA"/>
              </w:rPr>
              <w:t>。</w:t>
            </w:r>
          </w:p>
          <w:p>
            <w:pPr>
              <w:spacing w:line="280" w:lineRule="exact"/>
              <w:ind w:firstLine="420" w:firstLineChars="200"/>
              <w:rPr>
                <w:rFonts w:hint="eastAsia" w:ascii="华文细黑" w:hAnsi="华文细黑" w:eastAsia="华文细黑" w:cs="华文细黑"/>
                <w:color w:val="auto"/>
                <w:sz w:val="21"/>
                <w:szCs w:val="21"/>
                <w:lang w:val="en-US" w:eastAsia="zh-CN"/>
              </w:rPr>
            </w:pPr>
            <w:r>
              <w:rPr>
                <w:rFonts w:hint="eastAsia" w:ascii="华文细黑" w:hAnsi="华文细黑" w:eastAsia="华文细黑" w:cs="华文细黑"/>
                <w:bCs w:val="0"/>
                <w:color w:val="auto"/>
                <w:spacing w:val="0"/>
                <w:kern w:val="2"/>
                <w:sz w:val="21"/>
                <w:szCs w:val="21"/>
                <w:lang w:val="en-US" w:eastAsia="zh-CN" w:bidi="ar-SA"/>
              </w:rPr>
              <w:t>抽查组织</w:t>
            </w:r>
            <w:r>
              <w:rPr>
                <w:rFonts w:hint="eastAsia" w:ascii="华文细黑" w:hAnsi="华文细黑" w:cs="华文细黑"/>
                <w:bCs w:val="0"/>
                <w:color w:val="auto"/>
                <w:spacing w:val="0"/>
                <w:kern w:val="2"/>
                <w:sz w:val="21"/>
                <w:szCs w:val="21"/>
                <w:lang w:val="en-US" w:eastAsia="zh-CN" w:bidi="ar-SA"/>
              </w:rPr>
              <w:t>2022.1.10识别确定的</w:t>
            </w:r>
            <w:r>
              <w:rPr>
                <w:rFonts w:hint="eastAsia" w:ascii="华文细黑" w:hAnsi="华文细黑" w:eastAsia="华文细黑" w:cs="华文细黑"/>
                <w:bCs w:val="0"/>
                <w:color w:val="auto"/>
                <w:spacing w:val="0"/>
                <w:kern w:val="2"/>
                <w:sz w:val="21"/>
                <w:szCs w:val="21"/>
                <w:lang w:val="en-US" w:eastAsia="zh-CN" w:bidi="ar-SA"/>
              </w:rPr>
              <w:t>《不可接受风险清单》</w:t>
            </w:r>
            <w:r>
              <w:rPr>
                <w:rFonts w:hint="eastAsia" w:ascii="华文细黑" w:hAnsi="华文细黑" w:cs="华文细黑"/>
                <w:bCs w:val="0"/>
                <w:color w:val="auto"/>
                <w:spacing w:val="0"/>
                <w:kern w:val="2"/>
                <w:sz w:val="21"/>
                <w:szCs w:val="21"/>
                <w:lang w:val="en-US" w:eastAsia="zh-CN" w:bidi="ar-SA"/>
              </w:rPr>
              <w:t>，涉及采购部的</w:t>
            </w:r>
            <w:r>
              <w:rPr>
                <w:rFonts w:hint="eastAsia" w:ascii="华文细黑" w:hAnsi="华文细黑" w:eastAsia="华文细黑" w:cs="华文细黑"/>
                <w:bCs w:val="0"/>
                <w:color w:val="auto"/>
                <w:spacing w:val="0"/>
                <w:kern w:val="2"/>
                <w:sz w:val="21"/>
                <w:szCs w:val="21"/>
                <w:lang w:val="en-US" w:eastAsia="zh-CN" w:bidi="ar-SA"/>
              </w:rPr>
              <w:t>内容如下：</w:t>
            </w:r>
          </w:p>
          <w:tbl>
            <w:tblPr>
              <w:tblStyle w:val="10"/>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
              <w:gridCol w:w="958"/>
              <w:gridCol w:w="1269"/>
              <w:gridCol w:w="866"/>
              <w:gridCol w:w="2565"/>
              <w:gridCol w:w="1100"/>
              <w:gridCol w:w="754"/>
              <w:gridCol w:w="550"/>
              <w:gridCol w:w="438"/>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381"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序号</w:t>
                  </w:r>
                </w:p>
              </w:tc>
              <w:tc>
                <w:tcPr>
                  <w:tcW w:w="958"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重要危害因素</w:t>
                  </w:r>
                </w:p>
              </w:tc>
              <w:tc>
                <w:tcPr>
                  <w:tcW w:w="1269" w:type="dxa"/>
                  <w:vMerge w:val="restart"/>
                  <w:vAlign w:val="center"/>
                </w:tcPr>
                <w:p>
                  <w:pPr>
                    <w:spacing w:line="360" w:lineRule="auto"/>
                    <w:jc w:val="center"/>
                    <w:rPr>
                      <w:rFonts w:hint="eastAsia" w:ascii="华文细黑" w:hAnsi="华文细黑" w:eastAsia="华文细黑" w:cs="华文细黑"/>
                      <w:szCs w:val="21"/>
                      <w:lang w:eastAsia="zh-CN"/>
                    </w:rPr>
                  </w:pPr>
                  <w:r>
                    <w:rPr>
                      <w:rFonts w:hint="eastAsia" w:ascii="华文细黑" w:hAnsi="华文细黑" w:eastAsia="华文细黑" w:cs="华文细黑"/>
                      <w:szCs w:val="21"/>
                    </w:rPr>
                    <w:t>危害</w:t>
                  </w:r>
                  <w:r>
                    <w:rPr>
                      <w:rFonts w:hint="eastAsia" w:ascii="华文细黑" w:hAnsi="华文细黑" w:eastAsia="华文细黑" w:cs="华文细黑"/>
                      <w:szCs w:val="21"/>
                      <w:lang w:eastAsia="zh-CN"/>
                    </w:rPr>
                    <w:t>程度</w:t>
                  </w:r>
                </w:p>
              </w:tc>
              <w:tc>
                <w:tcPr>
                  <w:tcW w:w="866"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状态</w:t>
                  </w:r>
                </w:p>
              </w:tc>
              <w:tc>
                <w:tcPr>
                  <w:tcW w:w="2565"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危险源</w:t>
                  </w:r>
                </w:p>
              </w:tc>
              <w:tc>
                <w:tcPr>
                  <w:tcW w:w="1100"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相关部门</w:t>
                  </w:r>
                </w:p>
              </w:tc>
              <w:tc>
                <w:tcPr>
                  <w:tcW w:w="2457" w:type="dxa"/>
                  <w:gridSpan w:val="4"/>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381" w:type="dxa"/>
                  <w:vMerge w:val="continue"/>
                </w:tcPr>
                <w:p>
                  <w:pPr>
                    <w:spacing w:line="360" w:lineRule="auto"/>
                    <w:jc w:val="center"/>
                    <w:rPr>
                      <w:rFonts w:hint="eastAsia" w:ascii="华文细黑" w:hAnsi="华文细黑" w:eastAsia="华文细黑" w:cs="华文细黑"/>
                      <w:szCs w:val="21"/>
                    </w:rPr>
                  </w:pPr>
                </w:p>
              </w:tc>
              <w:tc>
                <w:tcPr>
                  <w:tcW w:w="958" w:type="dxa"/>
                  <w:vMerge w:val="continue"/>
                </w:tcPr>
                <w:p>
                  <w:pPr>
                    <w:spacing w:line="360" w:lineRule="auto"/>
                    <w:jc w:val="center"/>
                    <w:rPr>
                      <w:rFonts w:hint="eastAsia" w:ascii="华文细黑" w:hAnsi="华文细黑" w:eastAsia="华文细黑" w:cs="华文细黑"/>
                      <w:szCs w:val="21"/>
                    </w:rPr>
                  </w:pPr>
                </w:p>
              </w:tc>
              <w:tc>
                <w:tcPr>
                  <w:tcW w:w="1269" w:type="dxa"/>
                  <w:vMerge w:val="continue"/>
                </w:tcPr>
                <w:p>
                  <w:pPr>
                    <w:spacing w:line="360" w:lineRule="auto"/>
                    <w:jc w:val="center"/>
                    <w:rPr>
                      <w:rFonts w:hint="eastAsia" w:ascii="华文细黑" w:hAnsi="华文细黑" w:eastAsia="华文细黑" w:cs="华文细黑"/>
                      <w:szCs w:val="21"/>
                    </w:rPr>
                  </w:pPr>
                </w:p>
              </w:tc>
              <w:tc>
                <w:tcPr>
                  <w:tcW w:w="866" w:type="dxa"/>
                  <w:vMerge w:val="continue"/>
                </w:tcPr>
                <w:p>
                  <w:pPr>
                    <w:spacing w:line="360" w:lineRule="auto"/>
                    <w:jc w:val="center"/>
                    <w:rPr>
                      <w:rFonts w:hint="eastAsia" w:ascii="华文细黑" w:hAnsi="华文细黑" w:eastAsia="华文细黑" w:cs="华文细黑"/>
                      <w:szCs w:val="21"/>
                    </w:rPr>
                  </w:pPr>
                </w:p>
              </w:tc>
              <w:tc>
                <w:tcPr>
                  <w:tcW w:w="2565" w:type="dxa"/>
                  <w:vMerge w:val="continue"/>
                </w:tcPr>
                <w:p>
                  <w:pPr>
                    <w:spacing w:line="360" w:lineRule="auto"/>
                    <w:jc w:val="center"/>
                    <w:rPr>
                      <w:rFonts w:hint="eastAsia" w:ascii="华文细黑" w:hAnsi="华文细黑" w:eastAsia="华文细黑" w:cs="华文细黑"/>
                      <w:szCs w:val="21"/>
                    </w:rPr>
                  </w:pPr>
                </w:p>
              </w:tc>
              <w:tc>
                <w:tcPr>
                  <w:tcW w:w="1100" w:type="dxa"/>
                  <w:vMerge w:val="continue"/>
                </w:tcPr>
                <w:p>
                  <w:pPr>
                    <w:spacing w:line="360" w:lineRule="auto"/>
                    <w:jc w:val="center"/>
                    <w:rPr>
                      <w:rFonts w:hint="eastAsia" w:ascii="华文细黑" w:hAnsi="华文细黑" w:eastAsia="华文细黑" w:cs="华文细黑"/>
                      <w:szCs w:val="21"/>
                    </w:rPr>
                  </w:pPr>
                </w:p>
              </w:tc>
              <w:tc>
                <w:tcPr>
                  <w:tcW w:w="754" w:type="dxa"/>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目标/指标</w:t>
                  </w:r>
                </w:p>
              </w:tc>
              <w:tc>
                <w:tcPr>
                  <w:tcW w:w="550" w:type="dxa"/>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管理方案</w:t>
                  </w:r>
                </w:p>
              </w:tc>
              <w:tc>
                <w:tcPr>
                  <w:tcW w:w="438" w:type="dxa"/>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运行控制</w:t>
                  </w:r>
                </w:p>
              </w:tc>
              <w:tc>
                <w:tcPr>
                  <w:tcW w:w="715" w:type="dxa"/>
                  <w:vAlign w:val="center"/>
                </w:tcPr>
                <w:p>
                  <w:pPr>
                    <w:spacing w:line="360" w:lineRule="auto"/>
                    <w:jc w:val="center"/>
                    <w:rPr>
                      <w:rFonts w:hint="eastAsia" w:ascii="华文细黑" w:hAnsi="华文细黑" w:eastAsia="华文细黑" w:cs="华文细黑"/>
                      <w:spacing w:val="-20"/>
                      <w:szCs w:val="21"/>
                    </w:rPr>
                  </w:pPr>
                  <w:r>
                    <w:rPr>
                      <w:rFonts w:hint="eastAsia" w:ascii="华文细黑" w:hAnsi="华文细黑" w:eastAsia="华文细黑" w:cs="华文细黑"/>
                      <w:spacing w:val="-20"/>
                      <w:szCs w:val="21"/>
                    </w:rPr>
                    <w:t>应急准备与响应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81"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1</w:t>
                  </w:r>
                </w:p>
              </w:tc>
              <w:tc>
                <w:tcPr>
                  <w:tcW w:w="958"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触电</w:t>
                  </w:r>
                </w:p>
              </w:tc>
              <w:tc>
                <w:tcPr>
                  <w:tcW w:w="1269" w:type="dxa"/>
                  <w:vMerge w:val="restart"/>
                  <w:vAlign w:val="center"/>
                </w:tcPr>
                <w:p>
                  <w:pPr>
                    <w:widowControl/>
                    <w:jc w:val="center"/>
                    <w:rPr>
                      <w:rFonts w:hint="eastAsia" w:ascii="华文细黑" w:hAnsi="华文细黑" w:eastAsia="华文细黑" w:cs="华文细黑"/>
                      <w:szCs w:val="21"/>
                    </w:rPr>
                  </w:pPr>
                  <w:r>
                    <w:rPr>
                      <w:rFonts w:hint="eastAsia" w:ascii="华文细黑" w:hAnsi="华文细黑" w:eastAsia="华文细黑" w:cs="华文细黑"/>
                      <w:szCs w:val="21"/>
                    </w:rPr>
                    <w:t>少数人伤害</w:t>
                  </w:r>
                </w:p>
              </w:tc>
              <w:tc>
                <w:tcPr>
                  <w:tcW w:w="866"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现在/异常</w:t>
                  </w:r>
                </w:p>
              </w:tc>
              <w:tc>
                <w:tcPr>
                  <w:tcW w:w="2565" w:type="dxa"/>
                  <w:vAlign w:val="center"/>
                </w:tcPr>
                <w:p>
                  <w:pPr>
                    <w:spacing w:line="360" w:lineRule="auto"/>
                    <w:rPr>
                      <w:rFonts w:hint="eastAsia" w:ascii="华文细黑" w:hAnsi="华文细黑" w:eastAsia="华文细黑" w:cs="华文细黑"/>
                      <w:szCs w:val="21"/>
                    </w:rPr>
                  </w:pPr>
                  <w:r>
                    <w:rPr>
                      <w:rFonts w:hint="eastAsia" w:ascii="华文细黑" w:hAnsi="华文细黑" w:eastAsia="华文细黑" w:cs="华文细黑"/>
                      <w:szCs w:val="21"/>
                    </w:rPr>
                    <w:t>设备漏电</w:t>
                  </w:r>
                </w:p>
              </w:tc>
              <w:tc>
                <w:tcPr>
                  <w:tcW w:w="1100" w:type="dxa"/>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所有部门</w:t>
                  </w:r>
                </w:p>
              </w:tc>
              <w:tc>
                <w:tcPr>
                  <w:tcW w:w="754"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w:t>
                  </w:r>
                </w:p>
              </w:tc>
              <w:tc>
                <w:tcPr>
                  <w:tcW w:w="550"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w:t>
                  </w:r>
                </w:p>
              </w:tc>
              <w:tc>
                <w:tcPr>
                  <w:tcW w:w="438"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w:t>
                  </w:r>
                </w:p>
              </w:tc>
              <w:tc>
                <w:tcPr>
                  <w:tcW w:w="715"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81" w:type="dxa"/>
                  <w:vMerge w:val="continue"/>
                  <w:vAlign w:val="center"/>
                </w:tcPr>
                <w:p>
                  <w:pPr>
                    <w:spacing w:line="360" w:lineRule="auto"/>
                    <w:jc w:val="center"/>
                    <w:rPr>
                      <w:rFonts w:hint="eastAsia" w:ascii="华文细黑" w:hAnsi="华文细黑" w:eastAsia="华文细黑" w:cs="华文细黑"/>
                      <w:szCs w:val="21"/>
                    </w:rPr>
                  </w:pPr>
                </w:p>
              </w:tc>
              <w:tc>
                <w:tcPr>
                  <w:tcW w:w="958" w:type="dxa"/>
                  <w:vMerge w:val="continue"/>
                  <w:vAlign w:val="center"/>
                </w:tcPr>
                <w:p>
                  <w:pPr>
                    <w:spacing w:line="360" w:lineRule="auto"/>
                    <w:jc w:val="center"/>
                    <w:rPr>
                      <w:rFonts w:hint="eastAsia" w:ascii="华文细黑" w:hAnsi="华文细黑" w:eastAsia="华文细黑" w:cs="华文细黑"/>
                      <w:szCs w:val="21"/>
                    </w:rPr>
                  </w:pPr>
                </w:p>
              </w:tc>
              <w:tc>
                <w:tcPr>
                  <w:tcW w:w="1269" w:type="dxa"/>
                  <w:vMerge w:val="continue"/>
                  <w:vAlign w:val="center"/>
                </w:tcPr>
                <w:p>
                  <w:pPr>
                    <w:widowControl/>
                    <w:jc w:val="center"/>
                    <w:rPr>
                      <w:rFonts w:hint="eastAsia" w:ascii="华文细黑" w:hAnsi="华文细黑" w:eastAsia="华文细黑" w:cs="华文细黑"/>
                      <w:kern w:val="2"/>
                      <w:sz w:val="21"/>
                      <w:szCs w:val="24"/>
                      <w:lang w:val="en-US" w:eastAsia="zh-CN" w:bidi="ar-SA"/>
                    </w:rPr>
                  </w:pPr>
                </w:p>
              </w:tc>
              <w:tc>
                <w:tcPr>
                  <w:tcW w:w="866" w:type="dxa"/>
                  <w:vMerge w:val="continue"/>
                  <w:vAlign w:val="center"/>
                </w:tcPr>
                <w:p>
                  <w:pPr>
                    <w:spacing w:line="360" w:lineRule="auto"/>
                    <w:jc w:val="center"/>
                    <w:rPr>
                      <w:rFonts w:hint="eastAsia" w:ascii="华文细黑" w:hAnsi="华文细黑" w:eastAsia="华文细黑" w:cs="华文细黑"/>
                      <w:szCs w:val="21"/>
                    </w:rPr>
                  </w:pPr>
                </w:p>
              </w:tc>
              <w:tc>
                <w:tcPr>
                  <w:tcW w:w="2565" w:type="dxa"/>
                  <w:vAlign w:val="center"/>
                </w:tcPr>
                <w:p>
                  <w:pPr>
                    <w:spacing w:line="360" w:lineRule="auto"/>
                    <w:rPr>
                      <w:rFonts w:hint="eastAsia" w:ascii="华文细黑" w:hAnsi="华文细黑" w:eastAsia="华文细黑" w:cs="华文细黑"/>
                      <w:szCs w:val="21"/>
                    </w:rPr>
                  </w:pPr>
                  <w:r>
                    <w:rPr>
                      <w:rFonts w:hint="eastAsia" w:ascii="华文细黑" w:hAnsi="华文细黑" w:eastAsia="华文细黑" w:cs="华文细黑"/>
                      <w:szCs w:val="21"/>
                    </w:rPr>
                    <w:t>电线乱接、电线破损</w:t>
                  </w:r>
                </w:p>
              </w:tc>
              <w:tc>
                <w:tcPr>
                  <w:tcW w:w="1100" w:type="dxa"/>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所有部门</w:t>
                  </w:r>
                </w:p>
              </w:tc>
              <w:tc>
                <w:tcPr>
                  <w:tcW w:w="754" w:type="dxa"/>
                  <w:vMerge w:val="continue"/>
                  <w:vAlign w:val="center"/>
                </w:tcPr>
                <w:p>
                  <w:pPr>
                    <w:spacing w:line="360" w:lineRule="auto"/>
                    <w:jc w:val="center"/>
                    <w:rPr>
                      <w:rFonts w:hint="eastAsia" w:ascii="华文细黑" w:hAnsi="华文细黑" w:eastAsia="华文细黑" w:cs="华文细黑"/>
                      <w:szCs w:val="21"/>
                    </w:rPr>
                  </w:pPr>
                </w:p>
              </w:tc>
              <w:tc>
                <w:tcPr>
                  <w:tcW w:w="550" w:type="dxa"/>
                  <w:vMerge w:val="continue"/>
                  <w:vAlign w:val="center"/>
                </w:tcPr>
                <w:p>
                  <w:pPr>
                    <w:spacing w:line="360" w:lineRule="auto"/>
                    <w:jc w:val="center"/>
                    <w:rPr>
                      <w:rFonts w:hint="eastAsia" w:ascii="华文细黑" w:hAnsi="华文细黑" w:eastAsia="华文细黑" w:cs="华文细黑"/>
                      <w:szCs w:val="21"/>
                    </w:rPr>
                  </w:pPr>
                </w:p>
              </w:tc>
              <w:tc>
                <w:tcPr>
                  <w:tcW w:w="438" w:type="dxa"/>
                  <w:vMerge w:val="continue"/>
                  <w:vAlign w:val="center"/>
                </w:tcPr>
                <w:p>
                  <w:pPr>
                    <w:spacing w:line="360" w:lineRule="auto"/>
                    <w:jc w:val="center"/>
                    <w:rPr>
                      <w:rFonts w:hint="eastAsia" w:ascii="华文细黑" w:hAnsi="华文细黑" w:eastAsia="华文细黑" w:cs="华文细黑"/>
                      <w:szCs w:val="21"/>
                    </w:rPr>
                  </w:pPr>
                </w:p>
              </w:tc>
              <w:tc>
                <w:tcPr>
                  <w:tcW w:w="715" w:type="dxa"/>
                  <w:vMerge w:val="continue"/>
                  <w:vAlign w:val="center"/>
                </w:tcPr>
                <w:p>
                  <w:pPr>
                    <w:spacing w:line="360" w:lineRule="auto"/>
                    <w:jc w:val="center"/>
                    <w:rPr>
                      <w:rFonts w:hint="eastAsia" w:ascii="华文细黑" w:hAnsi="华文细黑" w:eastAsia="华文细黑" w:cs="华文细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381" w:type="dxa"/>
                  <w:vMerge w:val="continue"/>
                  <w:vAlign w:val="center"/>
                </w:tcPr>
                <w:p>
                  <w:pPr>
                    <w:spacing w:line="360" w:lineRule="auto"/>
                    <w:jc w:val="center"/>
                    <w:rPr>
                      <w:rFonts w:hint="eastAsia" w:ascii="华文细黑" w:hAnsi="华文细黑" w:eastAsia="华文细黑" w:cs="华文细黑"/>
                      <w:szCs w:val="21"/>
                    </w:rPr>
                  </w:pPr>
                </w:p>
              </w:tc>
              <w:tc>
                <w:tcPr>
                  <w:tcW w:w="958" w:type="dxa"/>
                  <w:vMerge w:val="continue"/>
                  <w:vAlign w:val="center"/>
                </w:tcPr>
                <w:p>
                  <w:pPr>
                    <w:spacing w:line="360" w:lineRule="auto"/>
                    <w:jc w:val="center"/>
                    <w:rPr>
                      <w:rFonts w:hint="eastAsia" w:ascii="华文细黑" w:hAnsi="华文细黑" w:eastAsia="华文细黑" w:cs="华文细黑"/>
                      <w:szCs w:val="21"/>
                    </w:rPr>
                  </w:pPr>
                </w:p>
              </w:tc>
              <w:tc>
                <w:tcPr>
                  <w:tcW w:w="1269" w:type="dxa"/>
                  <w:vMerge w:val="continue"/>
                  <w:vAlign w:val="center"/>
                </w:tcPr>
                <w:p>
                  <w:pPr>
                    <w:spacing w:line="360" w:lineRule="auto"/>
                    <w:jc w:val="center"/>
                    <w:rPr>
                      <w:rFonts w:hint="eastAsia" w:ascii="华文细黑" w:hAnsi="华文细黑" w:eastAsia="华文细黑" w:cs="华文细黑"/>
                      <w:szCs w:val="21"/>
                    </w:rPr>
                  </w:pPr>
                </w:p>
              </w:tc>
              <w:tc>
                <w:tcPr>
                  <w:tcW w:w="866" w:type="dxa"/>
                  <w:vMerge w:val="continue"/>
                  <w:vAlign w:val="center"/>
                </w:tcPr>
                <w:p>
                  <w:pPr>
                    <w:spacing w:line="360" w:lineRule="auto"/>
                    <w:jc w:val="center"/>
                    <w:rPr>
                      <w:rFonts w:hint="eastAsia" w:ascii="华文细黑" w:hAnsi="华文细黑" w:eastAsia="华文细黑" w:cs="华文细黑"/>
                      <w:szCs w:val="21"/>
                    </w:rPr>
                  </w:pPr>
                </w:p>
              </w:tc>
              <w:tc>
                <w:tcPr>
                  <w:tcW w:w="2565" w:type="dxa"/>
                  <w:vAlign w:val="center"/>
                </w:tcPr>
                <w:p>
                  <w:pPr>
                    <w:spacing w:line="360" w:lineRule="auto"/>
                    <w:rPr>
                      <w:rFonts w:hint="eastAsia" w:ascii="华文细黑" w:hAnsi="华文细黑" w:eastAsia="华文细黑" w:cs="华文细黑"/>
                      <w:szCs w:val="21"/>
                    </w:rPr>
                  </w:pPr>
                  <w:r>
                    <w:rPr>
                      <w:rFonts w:hint="eastAsia" w:ascii="华文细黑" w:hAnsi="华文细黑" w:eastAsia="华文细黑" w:cs="华文细黑"/>
                      <w:szCs w:val="21"/>
                    </w:rPr>
                    <w:t>使用移动小电器漏电</w:t>
                  </w:r>
                </w:p>
              </w:tc>
              <w:tc>
                <w:tcPr>
                  <w:tcW w:w="1100" w:type="dxa"/>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所有部门</w:t>
                  </w:r>
                </w:p>
              </w:tc>
              <w:tc>
                <w:tcPr>
                  <w:tcW w:w="754" w:type="dxa"/>
                  <w:vMerge w:val="continue"/>
                  <w:vAlign w:val="center"/>
                </w:tcPr>
                <w:p>
                  <w:pPr>
                    <w:spacing w:line="360" w:lineRule="auto"/>
                    <w:jc w:val="center"/>
                    <w:rPr>
                      <w:rFonts w:hint="eastAsia" w:ascii="华文细黑" w:hAnsi="华文细黑" w:eastAsia="华文细黑" w:cs="华文细黑"/>
                      <w:szCs w:val="21"/>
                    </w:rPr>
                  </w:pPr>
                </w:p>
              </w:tc>
              <w:tc>
                <w:tcPr>
                  <w:tcW w:w="550" w:type="dxa"/>
                  <w:vMerge w:val="continue"/>
                  <w:vAlign w:val="center"/>
                </w:tcPr>
                <w:p>
                  <w:pPr>
                    <w:spacing w:line="360" w:lineRule="auto"/>
                    <w:jc w:val="center"/>
                    <w:rPr>
                      <w:rFonts w:hint="eastAsia" w:ascii="华文细黑" w:hAnsi="华文细黑" w:eastAsia="华文细黑" w:cs="华文细黑"/>
                      <w:szCs w:val="21"/>
                    </w:rPr>
                  </w:pPr>
                </w:p>
              </w:tc>
              <w:tc>
                <w:tcPr>
                  <w:tcW w:w="438" w:type="dxa"/>
                  <w:vMerge w:val="continue"/>
                  <w:vAlign w:val="center"/>
                </w:tcPr>
                <w:p>
                  <w:pPr>
                    <w:spacing w:line="360" w:lineRule="auto"/>
                    <w:jc w:val="center"/>
                    <w:rPr>
                      <w:rFonts w:hint="eastAsia" w:ascii="华文细黑" w:hAnsi="华文细黑" w:eastAsia="华文细黑" w:cs="华文细黑"/>
                      <w:szCs w:val="21"/>
                    </w:rPr>
                  </w:pPr>
                </w:p>
              </w:tc>
              <w:tc>
                <w:tcPr>
                  <w:tcW w:w="715" w:type="dxa"/>
                  <w:vMerge w:val="continue"/>
                  <w:vAlign w:val="center"/>
                </w:tcPr>
                <w:p>
                  <w:pPr>
                    <w:spacing w:line="360" w:lineRule="auto"/>
                    <w:jc w:val="center"/>
                    <w:rPr>
                      <w:rFonts w:hint="eastAsia" w:ascii="华文细黑" w:hAnsi="华文细黑" w:eastAsia="华文细黑" w:cs="华文细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381" w:type="dxa"/>
                  <w:vMerge w:val="restart"/>
                  <w:vAlign w:val="center"/>
                </w:tcPr>
                <w:p>
                  <w:pPr>
                    <w:spacing w:line="360" w:lineRule="auto"/>
                    <w:jc w:val="center"/>
                    <w:rPr>
                      <w:rFonts w:hint="eastAsia" w:ascii="华文细黑" w:hAnsi="华文细黑" w:eastAsia="华文细黑" w:cs="华文细黑"/>
                      <w:b/>
                      <w:szCs w:val="21"/>
                    </w:rPr>
                  </w:pPr>
                  <w:r>
                    <w:rPr>
                      <w:rFonts w:hint="eastAsia" w:ascii="华文细黑" w:hAnsi="华文细黑" w:eastAsia="华文细黑" w:cs="华文细黑"/>
                      <w:szCs w:val="21"/>
                    </w:rPr>
                    <w:t>2</w:t>
                  </w:r>
                </w:p>
              </w:tc>
              <w:tc>
                <w:tcPr>
                  <w:tcW w:w="958"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火灾和爆炸</w:t>
                  </w:r>
                </w:p>
              </w:tc>
              <w:tc>
                <w:tcPr>
                  <w:tcW w:w="1269" w:type="dxa"/>
                  <w:vMerge w:val="restart"/>
                  <w:vAlign w:val="center"/>
                </w:tcPr>
                <w:p>
                  <w:pPr>
                    <w:widowControl/>
                    <w:jc w:val="center"/>
                    <w:rPr>
                      <w:rFonts w:hint="eastAsia" w:ascii="华文细黑" w:hAnsi="华文细黑" w:eastAsia="华文细黑" w:cs="华文细黑"/>
                      <w:szCs w:val="21"/>
                    </w:rPr>
                  </w:pPr>
                  <w:r>
                    <w:rPr>
                      <w:rFonts w:hint="eastAsia" w:ascii="华文细黑" w:hAnsi="华文细黑" w:eastAsia="华文细黑" w:cs="华文细黑"/>
                      <w:szCs w:val="21"/>
                    </w:rPr>
                    <w:t>少数人伤害</w:t>
                  </w:r>
                </w:p>
              </w:tc>
              <w:tc>
                <w:tcPr>
                  <w:tcW w:w="866"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将来/异常</w:t>
                  </w:r>
                </w:p>
              </w:tc>
              <w:tc>
                <w:tcPr>
                  <w:tcW w:w="2565" w:type="dxa"/>
                  <w:vAlign w:val="center"/>
                </w:tcPr>
                <w:p>
                  <w:pPr>
                    <w:spacing w:line="360" w:lineRule="auto"/>
                    <w:rPr>
                      <w:rFonts w:hint="eastAsia" w:ascii="华文细黑" w:hAnsi="华文细黑" w:eastAsia="华文细黑" w:cs="华文细黑"/>
                      <w:szCs w:val="21"/>
                    </w:rPr>
                  </w:pPr>
                  <w:r>
                    <w:rPr>
                      <w:rFonts w:hint="eastAsia" w:ascii="华文细黑" w:hAnsi="华文细黑" w:eastAsia="华文细黑" w:cs="华文细黑"/>
                      <w:szCs w:val="21"/>
                    </w:rPr>
                    <w:t>动用明火</w:t>
                  </w:r>
                </w:p>
              </w:tc>
              <w:tc>
                <w:tcPr>
                  <w:tcW w:w="1100" w:type="dxa"/>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所有部门</w:t>
                  </w:r>
                </w:p>
              </w:tc>
              <w:tc>
                <w:tcPr>
                  <w:tcW w:w="754"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w:t>
                  </w:r>
                </w:p>
              </w:tc>
              <w:tc>
                <w:tcPr>
                  <w:tcW w:w="550"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w:t>
                  </w:r>
                </w:p>
              </w:tc>
              <w:tc>
                <w:tcPr>
                  <w:tcW w:w="438"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w:t>
                  </w:r>
                </w:p>
              </w:tc>
              <w:tc>
                <w:tcPr>
                  <w:tcW w:w="715" w:type="dxa"/>
                  <w:vMerge w:val="restart"/>
                  <w:vAlign w:val="center"/>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81" w:type="dxa"/>
                  <w:vMerge w:val="continue"/>
                  <w:vAlign w:val="center"/>
                </w:tcPr>
                <w:p>
                  <w:pPr>
                    <w:spacing w:line="360" w:lineRule="auto"/>
                    <w:jc w:val="center"/>
                    <w:rPr>
                      <w:rFonts w:hint="eastAsia" w:ascii="华文细黑" w:hAnsi="华文细黑" w:eastAsia="华文细黑" w:cs="华文细黑"/>
                      <w:szCs w:val="21"/>
                    </w:rPr>
                  </w:pPr>
                </w:p>
              </w:tc>
              <w:tc>
                <w:tcPr>
                  <w:tcW w:w="958" w:type="dxa"/>
                  <w:vMerge w:val="continue"/>
                  <w:vAlign w:val="center"/>
                </w:tcPr>
                <w:p>
                  <w:pPr>
                    <w:spacing w:line="360" w:lineRule="auto"/>
                    <w:jc w:val="center"/>
                    <w:rPr>
                      <w:rFonts w:hint="eastAsia" w:ascii="华文细黑" w:hAnsi="华文细黑" w:eastAsia="华文细黑" w:cs="华文细黑"/>
                      <w:szCs w:val="21"/>
                    </w:rPr>
                  </w:pPr>
                </w:p>
              </w:tc>
              <w:tc>
                <w:tcPr>
                  <w:tcW w:w="1269" w:type="dxa"/>
                  <w:vMerge w:val="continue"/>
                  <w:vAlign w:val="center"/>
                </w:tcPr>
                <w:p>
                  <w:pPr>
                    <w:spacing w:line="360" w:lineRule="auto"/>
                    <w:jc w:val="center"/>
                    <w:rPr>
                      <w:rFonts w:hint="eastAsia" w:ascii="华文细黑" w:hAnsi="华文细黑" w:eastAsia="华文细黑" w:cs="华文细黑"/>
                      <w:szCs w:val="21"/>
                    </w:rPr>
                  </w:pPr>
                </w:p>
              </w:tc>
              <w:tc>
                <w:tcPr>
                  <w:tcW w:w="866" w:type="dxa"/>
                  <w:vMerge w:val="continue"/>
                  <w:vAlign w:val="center"/>
                </w:tcPr>
                <w:p>
                  <w:pPr>
                    <w:spacing w:line="360" w:lineRule="auto"/>
                    <w:jc w:val="center"/>
                    <w:rPr>
                      <w:rFonts w:hint="eastAsia" w:ascii="华文细黑" w:hAnsi="华文细黑" w:eastAsia="华文细黑" w:cs="华文细黑"/>
                      <w:szCs w:val="21"/>
                    </w:rPr>
                  </w:pPr>
                </w:p>
              </w:tc>
              <w:tc>
                <w:tcPr>
                  <w:tcW w:w="2565" w:type="dxa"/>
                  <w:vAlign w:val="center"/>
                </w:tcPr>
                <w:p>
                  <w:pPr>
                    <w:spacing w:line="360" w:lineRule="auto"/>
                    <w:rPr>
                      <w:rFonts w:hint="eastAsia" w:ascii="华文细黑" w:hAnsi="华文细黑" w:eastAsia="华文细黑" w:cs="华文细黑"/>
                      <w:szCs w:val="21"/>
                    </w:rPr>
                  </w:pPr>
                  <w:r>
                    <w:rPr>
                      <w:rFonts w:hint="eastAsia" w:ascii="华文细黑" w:hAnsi="华文细黑" w:eastAsia="华文细黑" w:cs="华文细黑"/>
                      <w:szCs w:val="21"/>
                    </w:rPr>
                    <w:t>电线乱接、电线破损</w:t>
                  </w:r>
                </w:p>
              </w:tc>
              <w:tc>
                <w:tcPr>
                  <w:tcW w:w="1100" w:type="dxa"/>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所有部门</w:t>
                  </w:r>
                </w:p>
              </w:tc>
              <w:tc>
                <w:tcPr>
                  <w:tcW w:w="754" w:type="dxa"/>
                  <w:vMerge w:val="continue"/>
                  <w:vAlign w:val="center"/>
                </w:tcPr>
                <w:p>
                  <w:pPr>
                    <w:spacing w:line="360" w:lineRule="auto"/>
                    <w:jc w:val="center"/>
                    <w:rPr>
                      <w:rFonts w:hint="eastAsia" w:ascii="华文细黑" w:hAnsi="华文细黑" w:eastAsia="华文细黑" w:cs="华文细黑"/>
                      <w:szCs w:val="21"/>
                    </w:rPr>
                  </w:pPr>
                </w:p>
              </w:tc>
              <w:tc>
                <w:tcPr>
                  <w:tcW w:w="550" w:type="dxa"/>
                  <w:vMerge w:val="continue"/>
                  <w:vAlign w:val="center"/>
                </w:tcPr>
                <w:p>
                  <w:pPr>
                    <w:spacing w:line="360" w:lineRule="auto"/>
                    <w:jc w:val="center"/>
                    <w:rPr>
                      <w:rFonts w:hint="eastAsia" w:ascii="华文细黑" w:hAnsi="华文细黑" w:eastAsia="华文细黑" w:cs="华文细黑"/>
                      <w:szCs w:val="21"/>
                    </w:rPr>
                  </w:pPr>
                </w:p>
              </w:tc>
              <w:tc>
                <w:tcPr>
                  <w:tcW w:w="438" w:type="dxa"/>
                  <w:vMerge w:val="continue"/>
                  <w:vAlign w:val="center"/>
                </w:tcPr>
                <w:p>
                  <w:pPr>
                    <w:spacing w:line="360" w:lineRule="auto"/>
                    <w:jc w:val="center"/>
                    <w:rPr>
                      <w:rFonts w:hint="eastAsia" w:ascii="华文细黑" w:hAnsi="华文细黑" w:eastAsia="华文细黑" w:cs="华文细黑"/>
                      <w:szCs w:val="21"/>
                    </w:rPr>
                  </w:pPr>
                </w:p>
              </w:tc>
              <w:tc>
                <w:tcPr>
                  <w:tcW w:w="715" w:type="dxa"/>
                  <w:vMerge w:val="continue"/>
                  <w:vAlign w:val="center"/>
                </w:tcPr>
                <w:p>
                  <w:pPr>
                    <w:spacing w:line="360" w:lineRule="auto"/>
                    <w:jc w:val="center"/>
                    <w:rPr>
                      <w:rFonts w:hint="eastAsia" w:ascii="华文细黑" w:hAnsi="华文细黑" w:eastAsia="华文细黑" w:cs="华文细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81" w:type="dxa"/>
                  <w:vMerge w:val="continue"/>
                  <w:vAlign w:val="center"/>
                </w:tcPr>
                <w:p>
                  <w:pPr>
                    <w:spacing w:line="360" w:lineRule="auto"/>
                    <w:jc w:val="center"/>
                    <w:rPr>
                      <w:rFonts w:hint="eastAsia" w:ascii="华文细黑" w:hAnsi="华文细黑" w:eastAsia="华文细黑" w:cs="华文细黑"/>
                      <w:szCs w:val="21"/>
                    </w:rPr>
                  </w:pPr>
                </w:p>
              </w:tc>
              <w:tc>
                <w:tcPr>
                  <w:tcW w:w="958" w:type="dxa"/>
                  <w:vMerge w:val="continue"/>
                  <w:vAlign w:val="center"/>
                </w:tcPr>
                <w:p>
                  <w:pPr>
                    <w:spacing w:line="360" w:lineRule="auto"/>
                    <w:jc w:val="center"/>
                    <w:rPr>
                      <w:rFonts w:hint="eastAsia" w:ascii="华文细黑" w:hAnsi="华文细黑" w:eastAsia="华文细黑" w:cs="华文细黑"/>
                      <w:szCs w:val="21"/>
                    </w:rPr>
                  </w:pPr>
                </w:p>
              </w:tc>
              <w:tc>
                <w:tcPr>
                  <w:tcW w:w="1269" w:type="dxa"/>
                  <w:vMerge w:val="continue"/>
                  <w:vAlign w:val="center"/>
                </w:tcPr>
                <w:p>
                  <w:pPr>
                    <w:spacing w:line="360" w:lineRule="auto"/>
                    <w:jc w:val="center"/>
                    <w:rPr>
                      <w:rFonts w:hint="eastAsia" w:ascii="华文细黑" w:hAnsi="华文细黑" w:eastAsia="华文细黑" w:cs="华文细黑"/>
                      <w:szCs w:val="21"/>
                    </w:rPr>
                  </w:pPr>
                </w:p>
              </w:tc>
              <w:tc>
                <w:tcPr>
                  <w:tcW w:w="866" w:type="dxa"/>
                  <w:vMerge w:val="continue"/>
                  <w:vAlign w:val="center"/>
                </w:tcPr>
                <w:p>
                  <w:pPr>
                    <w:spacing w:line="360" w:lineRule="auto"/>
                    <w:jc w:val="center"/>
                    <w:rPr>
                      <w:rFonts w:hint="eastAsia" w:ascii="华文细黑" w:hAnsi="华文细黑" w:eastAsia="华文细黑" w:cs="华文细黑"/>
                      <w:szCs w:val="21"/>
                    </w:rPr>
                  </w:pPr>
                </w:p>
              </w:tc>
              <w:tc>
                <w:tcPr>
                  <w:tcW w:w="2565" w:type="dxa"/>
                  <w:vAlign w:val="center"/>
                </w:tcPr>
                <w:p>
                  <w:pPr>
                    <w:spacing w:line="360" w:lineRule="auto"/>
                    <w:rPr>
                      <w:rFonts w:hint="eastAsia" w:ascii="华文细黑" w:hAnsi="华文细黑" w:eastAsia="华文细黑" w:cs="华文细黑"/>
                      <w:szCs w:val="21"/>
                    </w:rPr>
                  </w:pPr>
                  <w:r>
                    <w:rPr>
                      <w:rFonts w:hint="eastAsia" w:ascii="华文细黑" w:hAnsi="华文细黑" w:eastAsia="华文细黑" w:cs="华文细黑"/>
                      <w:szCs w:val="21"/>
                    </w:rPr>
                    <w:t>室内乱扔烟头</w:t>
                  </w:r>
                </w:p>
              </w:tc>
              <w:tc>
                <w:tcPr>
                  <w:tcW w:w="1100" w:type="dxa"/>
                </w:tcPr>
                <w:p>
                  <w:pPr>
                    <w:spacing w:line="360"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所有部门</w:t>
                  </w:r>
                </w:p>
              </w:tc>
              <w:tc>
                <w:tcPr>
                  <w:tcW w:w="754" w:type="dxa"/>
                  <w:vMerge w:val="continue"/>
                  <w:vAlign w:val="center"/>
                </w:tcPr>
                <w:p>
                  <w:pPr>
                    <w:spacing w:line="360" w:lineRule="auto"/>
                    <w:jc w:val="center"/>
                    <w:rPr>
                      <w:rFonts w:hint="eastAsia" w:ascii="华文细黑" w:hAnsi="华文细黑" w:eastAsia="华文细黑" w:cs="华文细黑"/>
                      <w:szCs w:val="21"/>
                    </w:rPr>
                  </w:pPr>
                </w:p>
              </w:tc>
              <w:tc>
                <w:tcPr>
                  <w:tcW w:w="550" w:type="dxa"/>
                  <w:vMerge w:val="continue"/>
                  <w:vAlign w:val="center"/>
                </w:tcPr>
                <w:p>
                  <w:pPr>
                    <w:spacing w:line="360" w:lineRule="auto"/>
                    <w:jc w:val="center"/>
                    <w:rPr>
                      <w:rFonts w:hint="eastAsia" w:ascii="华文细黑" w:hAnsi="华文细黑" w:eastAsia="华文细黑" w:cs="华文细黑"/>
                      <w:szCs w:val="21"/>
                    </w:rPr>
                  </w:pPr>
                </w:p>
              </w:tc>
              <w:tc>
                <w:tcPr>
                  <w:tcW w:w="438" w:type="dxa"/>
                  <w:vMerge w:val="continue"/>
                  <w:vAlign w:val="center"/>
                </w:tcPr>
                <w:p>
                  <w:pPr>
                    <w:spacing w:line="360" w:lineRule="auto"/>
                    <w:jc w:val="center"/>
                    <w:rPr>
                      <w:rFonts w:hint="eastAsia" w:ascii="华文细黑" w:hAnsi="华文细黑" w:eastAsia="华文细黑" w:cs="华文细黑"/>
                      <w:szCs w:val="21"/>
                    </w:rPr>
                  </w:pPr>
                </w:p>
              </w:tc>
              <w:tc>
                <w:tcPr>
                  <w:tcW w:w="715" w:type="dxa"/>
                  <w:vMerge w:val="continue"/>
                  <w:vAlign w:val="center"/>
                </w:tcPr>
                <w:p>
                  <w:pPr>
                    <w:spacing w:line="360" w:lineRule="auto"/>
                    <w:jc w:val="center"/>
                    <w:rPr>
                      <w:rFonts w:hint="eastAsia" w:ascii="华文细黑" w:hAnsi="华文细黑" w:eastAsia="华文细黑" w:cs="华文细黑"/>
                      <w:szCs w:val="21"/>
                    </w:rPr>
                  </w:pPr>
                </w:p>
              </w:tc>
            </w:tr>
          </w:tbl>
          <w:p>
            <w:pPr>
              <w:bidi w:val="0"/>
              <w:ind w:firstLine="420" w:firstLineChars="200"/>
              <w:rPr>
                <w:rFonts w:hint="default"/>
                <w:lang w:val="en-US" w:eastAsia="zh-CN"/>
              </w:rPr>
            </w:pPr>
            <w:r>
              <w:rPr>
                <w:rFonts w:hint="eastAsia" w:ascii="华文细黑" w:hAnsi="华文细黑" w:cs="华文细黑"/>
                <w:bCs w:val="0"/>
                <w:color w:val="auto"/>
                <w:spacing w:val="0"/>
                <w:kern w:val="2"/>
                <w:sz w:val="21"/>
                <w:szCs w:val="21"/>
                <w:lang w:val="en-US" w:eastAsia="zh-CN" w:bidi="ar-SA"/>
              </w:rPr>
              <w:t>危险源辨识、</w:t>
            </w:r>
            <w:r>
              <w:rPr>
                <w:rFonts w:hint="eastAsia" w:ascii="华文细黑" w:hAnsi="华文细黑" w:eastAsia="华文细黑" w:cs="华文细黑"/>
                <w:bCs w:val="0"/>
                <w:color w:val="auto"/>
                <w:spacing w:val="0"/>
                <w:kern w:val="2"/>
                <w:sz w:val="21"/>
                <w:szCs w:val="21"/>
                <w:lang w:val="en-US" w:eastAsia="zh-CN" w:bidi="ar-SA"/>
              </w:rPr>
              <w:t>评价与实际吻合，控制措施基本能够满足控制要求。</w:t>
            </w:r>
          </w:p>
        </w:tc>
        <w:tc>
          <w:tcPr>
            <w:tcW w:w="1585" w:type="dxa"/>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bidi w:val="0"/>
              <w:rPr>
                <w:rFonts w:hint="eastAsia"/>
                <w:lang w:val="en-US" w:eastAsia="zh-CN"/>
              </w:rPr>
            </w:pPr>
            <w:r>
              <w:rPr>
                <w:rFonts w:hint="eastAsia"/>
                <w:lang w:val="en-US" w:eastAsia="zh-CN"/>
              </w:rPr>
              <w:t>管理目标及其实现的策划</w:t>
            </w:r>
          </w:p>
          <w:p>
            <w:pPr>
              <w:bidi w:val="0"/>
              <w:rPr>
                <w:rFonts w:hint="eastAsia"/>
                <w:lang w:val="en-US" w:eastAsia="zh-CN"/>
              </w:rPr>
            </w:pPr>
          </w:p>
        </w:tc>
        <w:tc>
          <w:tcPr>
            <w:tcW w:w="998" w:type="dxa"/>
          </w:tcPr>
          <w:p>
            <w:pPr>
              <w:bidi w:val="0"/>
              <w:rPr>
                <w:rFonts w:hint="default"/>
                <w:lang w:val="en-US" w:eastAsia="zh-CN"/>
              </w:rPr>
            </w:pPr>
            <w:r>
              <w:rPr>
                <w:rFonts w:hint="eastAsia"/>
                <w:lang w:val="en-US" w:eastAsia="zh-CN"/>
              </w:rPr>
              <w:t>QEO6.2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lang w:val="en-US" w:eastAsia="zh-CN"/>
              </w:rPr>
              <w:t>组织</w:t>
            </w:r>
            <w:r>
              <w:rPr>
                <w:rFonts w:hint="eastAsia" w:ascii="宋体" w:hAnsi="宋体" w:cs="宋体"/>
                <w:szCs w:val="21"/>
              </w:rPr>
              <w:t>对管理体系所需的相关职能、层次和过程设定</w:t>
            </w:r>
            <w:r>
              <w:rPr>
                <w:rFonts w:hint="eastAsia" w:ascii="宋体" w:hAnsi="宋体" w:cs="宋体"/>
                <w:szCs w:val="21"/>
                <w:lang w:val="en-US" w:eastAsia="zh-CN"/>
              </w:rPr>
              <w:t>了</w:t>
            </w:r>
            <w:r>
              <w:rPr>
                <w:rFonts w:hint="eastAsia" w:ascii="宋体" w:hAnsi="宋体" w:cs="宋体"/>
                <w:szCs w:val="21"/>
              </w:rPr>
              <w:t>目标。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szCs w:val="21"/>
              </w:rPr>
            </w:pPr>
            <w:r>
              <w:rPr>
                <w:rFonts w:hint="eastAsia" w:ascii="宋体" w:hAnsi="宋体" w:cs="宋体"/>
                <w:szCs w:val="21"/>
                <w:lang w:val="en-US" w:eastAsia="zh-CN"/>
              </w:rPr>
              <w:t>采购部</w:t>
            </w:r>
            <w:r>
              <w:rPr>
                <w:rFonts w:hint="eastAsia" w:ascii="宋体" w:hAnsi="宋体" w:cs="宋体"/>
                <w:szCs w:val="21"/>
              </w:rPr>
              <w:t>涉及的目标</w:t>
            </w:r>
            <w:r>
              <w:rPr>
                <w:rFonts w:hint="eastAsia" w:ascii="宋体" w:hAnsi="宋体" w:cs="宋体"/>
                <w:szCs w:val="21"/>
                <w:lang w:val="en-US" w:eastAsia="zh-CN"/>
              </w:rPr>
              <w:t>分解落实</w:t>
            </w:r>
            <w:r>
              <w:rPr>
                <w:rFonts w:hint="eastAsia" w:ascii="宋体" w:hAnsi="宋体" w:cs="宋体"/>
                <w:szCs w:val="21"/>
              </w:rPr>
              <w:t>情况</w:t>
            </w:r>
            <w:r>
              <w:rPr>
                <w:rFonts w:hint="eastAsia" w:ascii="宋体" w:hAnsi="宋体" w:cs="宋体"/>
                <w:szCs w:val="21"/>
                <w:lang w:val="en-US" w:eastAsia="zh-CN"/>
              </w:rPr>
              <w:t>如下</w:t>
            </w:r>
            <w:r>
              <w:rPr>
                <w:rFonts w:hint="eastAsia" w:ascii="宋体" w:hAnsi="宋体" w:cs="宋体"/>
                <w:szCs w:val="21"/>
              </w:rPr>
              <w:t>：</w:t>
            </w:r>
          </w:p>
          <w:p>
            <w:pPr>
              <w:spacing w:line="280" w:lineRule="exact"/>
              <w:ind w:firstLine="420" w:firstLineChars="200"/>
              <w:rPr>
                <w:rFonts w:hint="eastAsia" w:ascii="宋体" w:hAnsi="宋体" w:cs="宋体"/>
                <w:szCs w:val="21"/>
                <w:lang w:eastAsia="zh-CN"/>
              </w:rPr>
            </w:pPr>
            <w:r>
              <w:rPr>
                <w:rFonts w:hint="eastAsia" w:ascii="宋体" w:hAnsi="宋体" w:cs="宋体"/>
                <w:szCs w:val="21"/>
              </w:rPr>
              <w:t>采购产品按时交付率100%</w:t>
            </w:r>
            <w:r>
              <w:rPr>
                <w:rFonts w:hint="eastAsia" w:ascii="宋体" w:hAnsi="宋体" w:cs="宋体"/>
                <w:szCs w:val="21"/>
                <w:lang w:eastAsia="zh-CN"/>
              </w:rPr>
              <w:t>；</w:t>
            </w:r>
          </w:p>
          <w:p>
            <w:pPr>
              <w:bidi w:val="0"/>
              <w:ind w:firstLine="420" w:firstLineChars="200"/>
              <w:rPr>
                <w:rFonts w:hint="eastAsia"/>
                <w:lang w:val="en-US" w:eastAsia="zh-CN"/>
              </w:rPr>
            </w:pPr>
            <w:r>
              <w:rPr>
                <w:rFonts w:hint="eastAsia"/>
                <w:lang w:val="en-US" w:eastAsia="zh-CN"/>
              </w:rPr>
              <w:t>固体废物分类收集率100%；</w:t>
            </w:r>
          </w:p>
          <w:p>
            <w:pPr>
              <w:bidi w:val="0"/>
              <w:ind w:firstLine="420" w:firstLineChars="200"/>
              <w:rPr>
                <w:rFonts w:hint="eastAsia"/>
                <w:lang w:val="en-US" w:eastAsia="zh-CN"/>
              </w:rPr>
            </w:pPr>
            <w:r>
              <w:rPr>
                <w:rFonts w:hint="eastAsia"/>
                <w:lang w:val="en-US" w:eastAsia="zh-CN"/>
              </w:rPr>
              <w:t>发生火灾爆炸事故为0起。</w:t>
            </w:r>
          </w:p>
          <w:p>
            <w:pPr>
              <w:bidi w:val="0"/>
              <w:ind w:firstLine="420" w:firstLineChars="200"/>
              <w:rPr>
                <w:rFonts w:hint="eastAsia" w:ascii="宋体" w:hAnsi="宋体" w:cs="宋体"/>
                <w:szCs w:val="21"/>
                <w:lang w:val="en-US" w:eastAsia="zh-CN"/>
              </w:rPr>
            </w:pPr>
            <w:r>
              <w:rPr>
                <w:rFonts w:hint="eastAsia" w:ascii="宋体" w:hAnsi="宋体" w:cs="宋体"/>
                <w:szCs w:val="21"/>
                <w:lang w:val="en-US" w:eastAsia="zh-CN"/>
              </w:rPr>
              <w:t>目标可测量，与方针一致。</w:t>
            </w:r>
          </w:p>
          <w:p>
            <w:pPr>
              <w:bidi w:val="0"/>
              <w:ind w:firstLine="420" w:firstLineChars="200"/>
              <w:rPr>
                <w:rFonts w:hint="eastAsia"/>
                <w:lang w:val="en-US" w:eastAsia="zh-CN"/>
              </w:rPr>
            </w:pPr>
            <w:r>
              <w:rPr>
                <w:rFonts w:hint="eastAsia" w:ascii="宋体" w:hAnsi="宋体" w:cs="宋体"/>
                <w:szCs w:val="21"/>
                <w:lang w:val="en-US" w:eastAsia="zh-CN"/>
              </w:rPr>
              <w:t>抽查2022年一、二、三季度的监视记录里表明：工程部的目标有按要求完成。</w:t>
            </w:r>
          </w:p>
        </w:tc>
        <w:tc>
          <w:tcPr>
            <w:tcW w:w="1585" w:type="dxa"/>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bidi w:val="0"/>
              <w:rPr>
                <w:rFonts w:hint="default"/>
                <w:color w:val="auto"/>
                <w:lang w:val="en-US" w:eastAsia="zh-CN"/>
              </w:rPr>
            </w:pPr>
            <w:r>
              <w:rPr>
                <w:rFonts w:hint="eastAsia"/>
                <w:color w:val="auto"/>
                <w:lang w:val="en-US" w:eastAsia="zh-CN"/>
              </w:rPr>
              <w:t>外部供方提供的过程、产品和服务的控制</w:t>
            </w:r>
          </w:p>
        </w:tc>
        <w:tc>
          <w:tcPr>
            <w:tcW w:w="998" w:type="dxa"/>
          </w:tcPr>
          <w:p>
            <w:pPr>
              <w:bidi w:val="0"/>
              <w:rPr>
                <w:rFonts w:hint="default"/>
                <w:color w:val="auto"/>
                <w:lang w:val="en-US" w:eastAsia="zh-CN"/>
              </w:rPr>
            </w:pPr>
            <w:r>
              <w:rPr>
                <w:rFonts w:hint="eastAsia"/>
                <w:color w:val="auto"/>
                <w:lang w:val="en-US" w:eastAsia="zh-CN"/>
              </w:rPr>
              <w:t>Q8.4</w:t>
            </w:r>
          </w:p>
        </w:tc>
        <w:tc>
          <w:tcPr>
            <w:tcW w:w="10004" w:type="dxa"/>
            <w:vAlign w:val="center"/>
          </w:tcPr>
          <w:p>
            <w:pPr>
              <w:spacing w:line="280" w:lineRule="exact"/>
              <w:ind w:firstLine="420" w:firstLineChars="200"/>
              <w:rPr>
                <w:rFonts w:hint="eastAsia"/>
                <w:lang w:val="en-US" w:eastAsia="zh-CN"/>
              </w:rPr>
            </w:pPr>
            <w:r>
              <w:rPr>
                <w:rFonts w:hint="eastAsia"/>
                <w:lang w:val="en-US" w:eastAsia="zh-CN"/>
              </w:rPr>
              <w:t>组织采购产品主要为纱线、甲醇。外包过程主要为织带生产。</w:t>
            </w:r>
          </w:p>
          <w:p>
            <w:pPr>
              <w:spacing w:line="280" w:lineRule="exact"/>
              <w:ind w:firstLine="420" w:firstLineChars="200"/>
              <w:rPr>
                <w:rFonts w:hint="eastAsia"/>
                <w:lang w:val="en-US" w:eastAsia="zh-CN"/>
              </w:rPr>
            </w:pPr>
            <w:r>
              <w:rPr>
                <w:rFonts w:hint="eastAsia"/>
                <w:lang w:val="en-US" w:eastAsia="zh-CN"/>
              </w:rPr>
              <w:t>抽查与化料甲醇供方上海睿喆能源科技有限公司2022.5.5签订的合同：合同就产品型号规格、数量、价格、质量要求、交付方式、验收标准等作了约定，基本满足控制要求。</w:t>
            </w:r>
          </w:p>
          <w:p>
            <w:pPr>
              <w:spacing w:line="280" w:lineRule="exact"/>
              <w:ind w:firstLine="420" w:firstLineChars="200"/>
              <w:rPr>
                <w:rFonts w:hint="eastAsia"/>
                <w:lang w:val="en-US" w:eastAsia="zh-CN"/>
              </w:rPr>
            </w:pPr>
            <w:r>
              <w:rPr>
                <w:rFonts w:hint="eastAsia"/>
                <w:lang w:val="en-US" w:eastAsia="zh-CN"/>
              </w:rPr>
              <w:t>抽查原料锦纶丝供方余姚新得丽针织有限公司2022.1.1签订的合同：合同就产品型号规格、数量、价格、质量要求、交付方式、验收标准等作了约定，基本满足控制要求。</w:t>
            </w:r>
          </w:p>
          <w:p>
            <w:pPr>
              <w:spacing w:line="280" w:lineRule="exact"/>
              <w:ind w:firstLine="420" w:firstLineChars="200"/>
              <w:rPr>
                <w:rFonts w:hint="eastAsia" w:ascii="Times New Roman" w:hAnsi="Times New Roman"/>
                <w:lang w:val="en-US" w:eastAsia="zh-CN"/>
              </w:rPr>
            </w:pPr>
            <w:r>
              <w:rPr>
                <w:rFonts w:hint="eastAsia"/>
                <w:lang w:val="en-US" w:eastAsia="zh-CN"/>
              </w:rPr>
              <w:t>抽查辅料离型纸管供方湖州市练市胜达制管厂2022.1.1签订的合同：合同就产品型号规格、数量、价格、</w:t>
            </w:r>
            <w:r>
              <w:rPr>
                <w:rFonts w:hint="eastAsia" w:ascii="Times New Roman" w:hAnsi="Times New Roman"/>
                <w:lang w:val="en-US" w:eastAsia="zh-CN"/>
              </w:rPr>
              <w:t>质量要求、交付方式、验收标准等作了约定，基本满足控制要求。</w:t>
            </w:r>
          </w:p>
          <w:p>
            <w:pPr>
              <w:spacing w:line="280" w:lineRule="exact"/>
              <w:ind w:firstLine="420" w:firstLineChars="200"/>
              <w:rPr>
                <w:rFonts w:hint="eastAsia" w:ascii="Times New Roman" w:hAnsi="Times New Roman"/>
                <w:lang w:val="en-US" w:eastAsia="zh-CN"/>
              </w:rPr>
            </w:pPr>
            <w:r>
              <w:rPr>
                <w:rFonts w:hint="eastAsia" w:ascii="Times New Roman" w:hAnsi="Times New Roman"/>
                <w:lang w:val="en-US" w:eastAsia="zh-CN"/>
              </w:rPr>
              <w:t>抽查纸箱供方湖州市新湖包装印刷有限公司2022.1.1签订的合同：合同就产品型号规格、数量、价格、质量要求、交付方式、验收标准等作了约定，基本满足控制要求。</w:t>
            </w:r>
          </w:p>
          <w:p>
            <w:pPr>
              <w:spacing w:line="280" w:lineRule="exact"/>
              <w:ind w:firstLine="420" w:firstLineChars="200"/>
              <w:rPr>
                <w:rFonts w:hint="default" w:ascii="Times New Roman" w:hAnsi="Times New Roman"/>
                <w:color w:val="auto"/>
                <w:lang w:val="en-US" w:eastAsia="zh-CN"/>
              </w:rPr>
            </w:pPr>
            <w:bookmarkStart w:id="0" w:name="_GoBack"/>
            <w:bookmarkEnd w:id="0"/>
            <w:r>
              <w:rPr>
                <w:rFonts w:hint="eastAsia" w:ascii="Times New Roman" w:hAnsi="Times New Roman"/>
                <w:color w:val="auto"/>
                <w:lang w:val="en-US" w:eastAsia="zh-CN"/>
              </w:rPr>
              <w:t>抽查供方评定记录表1：供应商名称：湖州南浔管式塑业有限公司；产品名称：塑料塞；内容包括供方地址、联系方式、基本情况及品质、技术和生产测试使用结论；评定结论：合格；时间：2022.1.17。</w:t>
            </w:r>
          </w:p>
          <w:p>
            <w:pPr>
              <w:spacing w:line="280" w:lineRule="exact"/>
              <w:ind w:firstLine="420" w:firstLineChars="200"/>
              <w:rPr>
                <w:rFonts w:hint="eastAsia" w:ascii="Times New Roman" w:hAnsi="Times New Roman"/>
                <w:color w:val="auto"/>
                <w:lang w:val="en-US" w:eastAsia="zh-CN"/>
              </w:rPr>
            </w:pPr>
            <w:r>
              <w:rPr>
                <w:rFonts w:hint="eastAsia" w:ascii="Times New Roman" w:hAnsi="Times New Roman"/>
                <w:color w:val="auto"/>
                <w:lang w:val="en-US" w:eastAsia="zh-CN"/>
              </w:rPr>
              <w:t>抽查供方评定记录表2：供应商名称：</w:t>
            </w:r>
            <w:r>
              <w:rPr>
                <w:rFonts w:hint="eastAsia"/>
                <w:color w:val="auto"/>
                <w:lang w:val="en-US" w:eastAsia="zh-CN"/>
              </w:rPr>
              <w:t>上海睿喆能源科技有限公司</w:t>
            </w:r>
            <w:r>
              <w:rPr>
                <w:rFonts w:hint="eastAsia" w:ascii="Times New Roman" w:hAnsi="Times New Roman"/>
                <w:color w:val="auto"/>
                <w:lang w:val="en-US" w:eastAsia="zh-CN"/>
              </w:rPr>
              <w:t>；产品名称：甲醇；内容包括供方地址、联系方式、基本情况及品质、技术和生产测试使用结论；评定结论：合格；时间：2022.1.21。</w:t>
            </w:r>
          </w:p>
          <w:p>
            <w:pPr>
              <w:spacing w:line="280" w:lineRule="exact"/>
              <w:ind w:firstLine="420" w:firstLineChars="200"/>
              <w:rPr>
                <w:rFonts w:hint="eastAsia" w:ascii="Times New Roman" w:hAnsi="Times New Roman"/>
                <w:color w:val="auto"/>
                <w:lang w:val="en-US" w:eastAsia="zh-CN"/>
              </w:rPr>
            </w:pPr>
            <w:r>
              <w:rPr>
                <w:rFonts w:hint="eastAsia" w:ascii="Times New Roman" w:hAnsi="Times New Roman"/>
                <w:color w:val="auto"/>
                <w:lang w:val="en-US" w:eastAsia="zh-CN"/>
              </w:rPr>
              <w:t>抽查供方评定记录表3：供应商名称：</w:t>
            </w:r>
            <w:r>
              <w:rPr>
                <w:rFonts w:hint="eastAsia"/>
                <w:lang w:val="en-US" w:eastAsia="zh-CN"/>
              </w:rPr>
              <w:t>余姚新得丽针织有限公司</w:t>
            </w:r>
            <w:r>
              <w:rPr>
                <w:rFonts w:hint="eastAsia" w:ascii="Times New Roman" w:hAnsi="Times New Roman"/>
                <w:color w:val="auto"/>
                <w:lang w:val="en-US" w:eastAsia="zh-CN"/>
              </w:rPr>
              <w:t>；产品名称：锦纶丝；内容包括供方地址、联系方式、基本情况及品质、技术和生产测试使用结论；评定结论：合格；时间：2022.1.14。</w:t>
            </w:r>
          </w:p>
          <w:p>
            <w:pPr>
              <w:spacing w:line="280" w:lineRule="exact"/>
              <w:ind w:firstLine="420" w:firstLineChars="200"/>
              <w:rPr>
                <w:rFonts w:hint="default" w:ascii="Times New Roman" w:hAnsi="Times New Roman"/>
                <w:color w:val="auto"/>
                <w:lang w:val="en-US" w:eastAsia="zh-CN"/>
              </w:rPr>
            </w:pPr>
            <w:r>
              <w:rPr>
                <w:rFonts w:hint="eastAsia" w:ascii="Times New Roman" w:hAnsi="Times New Roman"/>
                <w:color w:val="auto"/>
                <w:lang w:val="en-US" w:eastAsia="zh-CN"/>
              </w:rPr>
              <w:t>综上，组织的供方控制基本满足要求。</w:t>
            </w:r>
          </w:p>
        </w:tc>
        <w:tc>
          <w:tcPr>
            <w:tcW w:w="1585" w:type="dxa"/>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bidi w:val="0"/>
              <w:rPr>
                <w:rFonts w:hint="default"/>
                <w:lang w:val="en-US" w:eastAsia="zh-CN"/>
              </w:rPr>
            </w:pPr>
            <w:r>
              <w:rPr>
                <w:rFonts w:hint="eastAsia"/>
                <w:lang w:val="en-US" w:eastAsia="zh-CN"/>
              </w:rPr>
              <w:t>供方财产</w:t>
            </w:r>
          </w:p>
        </w:tc>
        <w:tc>
          <w:tcPr>
            <w:tcW w:w="998" w:type="dxa"/>
          </w:tcPr>
          <w:p>
            <w:pPr>
              <w:bidi w:val="0"/>
              <w:rPr>
                <w:rFonts w:hint="default"/>
                <w:lang w:val="en-US" w:eastAsia="zh-CN"/>
              </w:rPr>
            </w:pPr>
            <w:r>
              <w:rPr>
                <w:rFonts w:hint="eastAsia"/>
                <w:lang w:val="en-US" w:eastAsia="zh-CN"/>
              </w:rPr>
              <w:t>Q8.5.3</w:t>
            </w:r>
          </w:p>
        </w:tc>
        <w:tc>
          <w:tcPr>
            <w:tcW w:w="10004" w:type="dxa"/>
            <w:vAlign w:val="center"/>
          </w:tcPr>
          <w:p>
            <w:pPr>
              <w:bidi w:val="0"/>
              <w:ind w:firstLine="420" w:firstLineChars="200"/>
              <w:rPr>
                <w:rFonts w:hint="default"/>
                <w:lang w:val="en-US" w:eastAsia="zh-CN"/>
              </w:rPr>
            </w:pPr>
            <w:r>
              <w:rPr>
                <w:rFonts w:hint="eastAsia"/>
                <w:lang w:val="en-US" w:eastAsia="zh-CN"/>
              </w:rPr>
              <w:t>组织主要存在的供方财产为供方的基本信息、许可证书、提供的MSDS等技术文档，基本通过外来文件管理的方式控制。基本能够确保符合要求。</w:t>
            </w:r>
          </w:p>
        </w:tc>
        <w:tc>
          <w:tcPr>
            <w:tcW w:w="1585" w:type="dxa"/>
          </w:tcPr>
          <w:p>
            <w:pPr>
              <w:bidi w:val="0"/>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vAlign w:val="top"/>
          </w:tcPr>
          <w:p>
            <w:pPr>
              <w:bidi w:val="0"/>
              <w:rPr>
                <w:rFonts w:hint="eastAsia"/>
                <w:lang w:val="en-US" w:eastAsia="zh-CN"/>
              </w:rPr>
            </w:pPr>
            <w:r>
              <w:rPr>
                <w:rFonts w:hint="eastAsia"/>
                <w:lang w:val="en-US" w:eastAsia="zh-CN"/>
              </w:rPr>
              <w:t>运行策划和控制</w:t>
            </w:r>
          </w:p>
          <w:p>
            <w:pPr>
              <w:bidi w:val="0"/>
              <w:rPr>
                <w:rFonts w:hint="eastAsia"/>
                <w:lang w:val="en-US" w:eastAsia="zh-CN"/>
              </w:rPr>
            </w:pPr>
          </w:p>
        </w:tc>
        <w:tc>
          <w:tcPr>
            <w:tcW w:w="998" w:type="dxa"/>
            <w:vAlign w:val="top"/>
          </w:tcPr>
          <w:p>
            <w:pPr>
              <w:bidi w:val="0"/>
              <w:rPr>
                <w:rFonts w:hint="eastAsia"/>
                <w:lang w:val="en-US" w:eastAsia="zh-CN"/>
              </w:rPr>
            </w:pPr>
            <w:r>
              <w:rPr>
                <w:rFonts w:hint="eastAsia"/>
                <w:lang w:val="en-US" w:eastAsia="zh-CN"/>
              </w:rPr>
              <w:t>EO8.1</w:t>
            </w:r>
          </w:p>
        </w:tc>
        <w:tc>
          <w:tcPr>
            <w:tcW w:w="10004" w:type="dxa"/>
            <w:vAlign w:val="center"/>
          </w:tcPr>
          <w:p>
            <w:pPr>
              <w:spacing w:line="280" w:lineRule="exact"/>
              <w:ind w:firstLine="420" w:firstLineChars="200"/>
              <w:rPr>
                <w:rFonts w:hint="default"/>
                <w:color w:val="auto"/>
                <w:lang w:val="en-US" w:eastAsia="zh-CN"/>
              </w:rPr>
            </w:pPr>
            <w:r>
              <w:rPr>
                <w:rFonts w:hint="eastAsia"/>
                <w:color w:val="auto"/>
                <w:lang w:val="en-US" w:eastAsia="zh-CN"/>
              </w:rPr>
              <w:t>组织</w:t>
            </w:r>
            <w:r>
              <w:rPr>
                <w:rFonts w:hint="eastAsia"/>
                <w:color w:val="auto"/>
              </w:rPr>
              <w:t>编制</w:t>
            </w:r>
            <w:r>
              <w:rPr>
                <w:rFonts w:hint="eastAsia"/>
                <w:color w:val="auto"/>
                <w:lang w:val="en-US" w:eastAsia="zh-CN"/>
              </w:rPr>
              <w:t>的</w:t>
            </w:r>
            <w:r>
              <w:rPr>
                <w:rFonts w:hint="eastAsia"/>
                <w:color w:val="auto"/>
              </w:rPr>
              <w:t>与环境管理体系运行控制有关的文件</w:t>
            </w:r>
            <w:r>
              <w:rPr>
                <w:rFonts w:hint="eastAsia"/>
                <w:color w:val="auto"/>
                <w:lang w:val="en-US" w:eastAsia="zh-CN"/>
              </w:rPr>
              <w:t>主要包括《</w:t>
            </w:r>
            <w:r>
              <w:rPr>
                <w:rFonts w:hint="eastAsia"/>
                <w:color w:val="auto"/>
              </w:rPr>
              <w:t>环境、安全运行控制程序</w:t>
            </w:r>
            <w:r>
              <w:rPr>
                <w:rFonts w:hint="eastAsia"/>
                <w:color w:val="auto"/>
                <w:lang w:val="en-US" w:eastAsia="zh-CN"/>
              </w:rPr>
              <w:t>》</w:t>
            </w:r>
            <w:r>
              <w:rPr>
                <w:rFonts w:hint="eastAsia"/>
                <w:color w:val="auto"/>
              </w:rPr>
              <w:t>、</w:t>
            </w:r>
            <w:r>
              <w:rPr>
                <w:rFonts w:hint="eastAsia"/>
                <w:color w:val="auto"/>
                <w:lang w:eastAsia="zh-CN"/>
              </w:rPr>
              <w:t>《废弃物管理程序》、《员工安全管理程序》</w:t>
            </w:r>
            <w:r>
              <w:rPr>
                <w:rFonts w:hint="eastAsia"/>
                <w:color w:val="auto"/>
              </w:rPr>
              <w:t>等。</w:t>
            </w:r>
            <w:r>
              <w:rPr>
                <w:rFonts w:hint="eastAsia"/>
                <w:color w:val="auto"/>
                <w:lang w:val="en-US" w:eastAsia="zh-CN"/>
              </w:rPr>
              <w:t>现场审核发现情况如下：</w:t>
            </w:r>
          </w:p>
          <w:p>
            <w:pPr>
              <w:spacing w:line="280" w:lineRule="exact"/>
              <w:ind w:firstLine="420" w:firstLineChars="200"/>
              <w:rPr>
                <w:rFonts w:hint="eastAsia"/>
                <w:color w:val="auto"/>
              </w:rPr>
            </w:pPr>
            <w:r>
              <w:rPr>
                <w:rFonts w:hint="eastAsia"/>
                <w:color w:val="auto"/>
              </w:rPr>
              <w:t>1</w:t>
            </w:r>
            <w:r>
              <w:rPr>
                <w:rFonts w:hint="eastAsia"/>
                <w:color w:val="auto"/>
                <w:lang w:val="en-US" w:eastAsia="zh-CN"/>
              </w:rPr>
              <w:t>.</w:t>
            </w:r>
            <w:r>
              <w:rPr>
                <w:rFonts w:hint="eastAsia"/>
                <w:color w:val="auto"/>
              </w:rPr>
              <w:t>固废管控</w:t>
            </w:r>
          </w:p>
          <w:p>
            <w:pPr>
              <w:spacing w:line="280" w:lineRule="exact"/>
              <w:ind w:firstLine="420" w:firstLineChars="200"/>
              <w:rPr>
                <w:rFonts w:hint="default"/>
                <w:color w:val="auto"/>
                <w:lang w:val="en-US" w:eastAsia="zh-CN"/>
              </w:rPr>
            </w:pPr>
            <w:r>
              <w:rPr>
                <w:rFonts w:hint="eastAsia"/>
                <w:color w:val="auto"/>
                <w:lang w:val="en-US" w:eastAsia="zh-CN"/>
              </w:rPr>
              <w:t>生活垃圾委托环卫部门清运；其它见安环部EO8.1记录。</w:t>
            </w:r>
          </w:p>
          <w:p>
            <w:pPr>
              <w:spacing w:line="280" w:lineRule="exact"/>
              <w:ind w:firstLine="420" w:firstLineChars="200"/>
              <w:rPr>
                <w:rFonts w:hint="eastAsia"/>
                <w:color w:val="auto"/>
                <w:lang w:val="en-US" w:eastAsia="zh-CN"/>
              </w:rPr>
            </w:pPr>
            <w:r>
              <w:rPr>
                <w:rFonts w:hint="eastAsia"/>
                <w:color w:val="auto"/>
                <w:lang w:val="en-US" w:eastAsia="zh-CN"/>
              </w:rPr>
              <w:t>2.废水管控</w:t>
            </w:r>
          </w:p>
          <w:p>
            <w:pPr>
              <w:spacing w:line="280" w:lineRule="exact"/>
              <w:ind w:firstLine="420" w:firstLineChars="200"/>
              <w:rPr>
                <w:rFonts w:hint="default"/>
                <w:color w:val="auto"/>
                <w:lang w:val="en-US" w:eastAsia="zh-CN"/>
              </w:rPr>
            </w:pPr>
            <w:r>
              <w:rPr>
                <w:rFonts w:hint="eastAsia"/>
                <w:color w:val="auto"/>
                <w:lang w:val="en-US" w:eastAsia="zh-CN"/>
              </w:rPr>
              <w:t>生活污水经化粪池预处理后由园区管网送至湖州南浔嘉诚水质净化有限公司集中处理；生产废水见安环部EO8.1记录。</w:t>
            </w:r>
          </w:p>
          <w:p>
            <w:pPr>
              <w:spacing w:line="280" w:lineRule="exact"/>
              <w:ind w:firstLine="420" w:firstLineChars="2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3.废气管控</w:t>
            </w:r>
          </w:p>
          <w:p>
            <w:pPr>
              <w:spacing w:line="280" w:lineRule="exact"/>
              <w:ind w:firstLine="420" w:firstLineChars="20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办公现场基本无废气排放；其它废气包括粉尘和工艺废气运行控制记录见安环部EO8.1。</w:t>
            </w:r>
          </w:p>
          <w:p>
            <w:pPr>
              <w:spacing w:line="280" w:lineRule="exact"/>
              <w:ind w:firstLine="420" w:firstLineChars="2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4.噪声管控</w:t>
            </w:r>
          </w:p>
          <w:p>
            <w:pPr>
              <w:spacing w:line="280" w:lineRule="exact"/>
              <w:ind w:firstLine="420" w:firstLineChars="200"/>
              <w:rPr>
                <w:rFonts w:hint="eastAsia"/>
                <w:color w:val="auto"/>
              </w:rPr>
            </w:pPr>
            <w:r>
              <w:rPr>
                <w:rFonts w:hint="eastAsia"/>
                <w:color w:val="auto"/>
                <w:lang w:val="en-US" w:eastAsia="zh-CN"/>
              </w:rPr>
              <w:t>办公区域无噪声产生，主要安环部EO8.1记录</w:t>
            </w:r>
            <w:r>
              <w:rPr>
                <w:rFonts w:hint="eastAsia"/>
                <w:color w:val="auto"/>
              </w:rPr>
              <w:t>。</w:t>
            </w:r>
          </w:p>
          <w:p>
            <w:pPr>
              <w:spacing w:line="280" w:lineRule="exact"/>
              <w:ind w:firstLine="420" w:firstLineChars="200"/>
              <w:rPr>
                <w:rFonts w:hint="eastAsia"/>
                <w:color w:val="auto"/>
              </w:rPr>
            </w:pPr>
            <w:r>
              <w:rPr>
                <w:rFonts w:hint="eastAsia"/>
                <w:color w:val="auto"/>
                <w:lang w:val="en-US" w:eastAsia="zh-CN"/>
              </w:rPr>
              <w:t>5.</w:t>
            </w:r>
            <w:r>
              <w:rPr>
                <w:rFonts w:hint="eastAsia"/>
                <w:color w:val="auto"/>
              </w:rPr>
              <w:t>能源资源管控</w:t>
            </w:r>
          </w:p>
          <w:p>
            <w:pPr>
              <w:spacing w:line="280" w:lineRule="exact"/>
              <w:ind w:firstLine="420" w:firstLineChars="200"/>
              <w:rPr>
                <w:rFonts w:hint="eastAsia"/>
                <w:color w:val="FF0000"/>
              </w:rPr>
            </w:pPr>
            <w:r>
              <w:rPr>
                <w:rFonts w:hint="eastAsia"/>
                <w:color w:val="auto"/>
                <w:lang w:val="en-US" w:eastAsia="zh-CN"/>
              </w:rPr>
              <w:t>组织各场所</w:t>
            </w:r>
            <w:r>
              <w:rPr>
                <w:rFonts w:hint="eastAsia"/>
                <w:color w:val="auto"/>
              </w:rPr>
              <w:t>注意节水、节电、节油，人走关闭开关，未发现有漏水和浪费电能的现象。</w:t>
            </w:r>
          </w:p>
          <w:p>
            <w:pPr>
              <w:spacing w:line="280" w:lineRule="exact"/>
              <w:ind w:firstLine="420" w:firstLineChars="200"/>
              <w:rPr>
                <w:rFonts w:hint="eastAsia"/>
                <w:color w:val="auto"/>
              </w:rPr>
            </w:pPr>
            <w:r>
              <w:rPr>
                <w:rFonts w:hint="eastAsia"/>
                <w:color w:val="auto"/>
                <w:lang w:val="en-US" w:eastAsia="zh-CN"/>
              </w:rPr>
              <w:t>6</w:t>
            </w:r>
            <w:r>
              <w:rPr>
                <w:rFonts w:hint="eastAsia"/>
                <w:color w:val="auto"/>
                <w:lang w:eastAsia="zh-CN"/>
              </w:rPr>
              <w:t>.</w:t>
            </w:r>
            <w:r>
              <w:rPr>
                <w:rFonts w:hint="eastAsia"/>
                <w:color w:val="auto"/>
              </w:rPr>
              <w:t>潜在火灾管控</w:t>
            </w:r>
          </w:p>
          <w:p>
            <w:pPr>
              <w:spacing w:line="280" w:lineRule="exact"/>
              <w:ind w:firstLine="420" w:firstLineChars="200"/>
              <w:rPr>
                <w:rFonts w:hint="eastAsia"/>
                <w:color w:val="auto"/>
                <w:lang w:val="en-US" w:eastAsia="zh-CN"/>
              </w:rPr>
            </w:pPr>
            <w:r>
              <w:rPr>
                <w:rFonts w:hint="eastAsia"/>
                <w:color w:val="auto"/>
                <w:lang w:val="en-US" w:eastAsia="zh-CN"/>
              </w:rPr>
              <w:t>办公区域均</w:t>
            </w:r>
            <w:r>
              <w:rPr>
                <w:rFonts w:hint="eastAsia"/>
                <w:color w:val="auto"/>
              </w:rPr>
              <w:t>配有灭火器</w:t>
            </w:r>
            <w:r>
              <w:rPr>
                <w:rFonts w:hint="eastAsia"/>
                <w:color w:val="auto"/>
                <w:lang w:val="en-US" w:eastAsia="zh-CN"/>
              </w:rPr>
              <w:t>和消防栓</w:t>
            </w:r>
            <w:r>
              <w:rPr>
                <w:rFonts w:hint="eastAsia"/>
                <w:color w:val="auto"/>
                <w:lang w:eastAsia="zh-CN"/>
              </w:rPr>
              <w:t>，</w:t>
            </w:r>
            <w:r>
              <w:rPr>
                <w:rFonts w:hint="eastAsia"/>
                <w:color w:val="auto"/>
                <w:lang w:val="en-US" w:eastAsia="zh-CN"/>
              </w:rPr>
              <w:t>统一按月检查和维护</w:t>
            </w:r>
            <w:r>
              <w:rPr>
                <w:rFonts w:hint="eastAsia"/>
                <w:color w:val="auto"/>
              </w:rPr>
              <w:t>。</w:t>
            </w:r>
            <w:r>
              <w:rPr>
                <w:rFonts w:hint="eastAsia"/>
                <w:color w:val="auto"/>
                <w:lang w:val="en-US" w:eastAsia="zh-CN"/>
              </w:rPr>
              <w:t>其它见安环部EO8.1记录。</w:t>
            </w:r>
          </w:p>
          <w:p>
            <w:pPr>
              <w:spacing w:line="280" w:lineRule="exact"/>
              <w:ind w:firstLine="420" w:firstLineChars="200"/>
              <w:rPr>
                <w:rFonts w:hint="default"/>
                <w:color w:val="auto"/>
                <w:lang w:val="en-US" w:eastAsia="zh-CN"/>
              </w:rPr>
            </w:pPr>
            <w:r>
              <w:rPr>
                <w:rFonts w:hint="eastAsia"/>
                <w:color w:val="auto"/>
                <w:lang w:val="en-US" w:eastAsia="zh-CN"/>
              </w:rPr>
              <w:t>7.采购及外包的环保和安全控制</w:t>
            </w:r>
          </w:p>
          <w:p>
            <w:pPr>
              <w:spacing w:line="280" w:lineRule="exact"/>
              <w:ind w:firstLine="420" w:firstLineChars="200"/>
              <w:rPr>
                <w:rFonts w:hint="default"/>
                <w:color w:val="auto"/>
                <w:lang w:val="en-US" w:eastAsia="zh-CN"/>
              </w:rPr>
            </w:pPr>
            <w:r>
              <w:rPr>
                <w:rFonts w:hint="eastAsia"/>
                <w:color w:val="auto"/>
                <w:lang w:val="en-US" w:eastAsia="zh-CN"/>
              </w:rPr>
              <w:t>从采购部了解到，组织的的原辅料包括危险化学品助剂均要求供方提供相应的MSDS等技术文档，保证使用和储存的环保和安全；组织与外协均签订了外协合同和安全生产协议，符合要求。</w:t>
            </w:r>
          </w:p>
          <w:p>
            <w:pPr>
              <w:spacing w:line="280" w:lineRule="exact"/>
              <w:ind w:firstLine="420" w:firstLineChars="200"/>
              <w:rPr>
                <w:rFonts w:hint="eastAsia"/>
                <w:color w:val="auto"/>
                <w:lang w:val="en-US" w:eastAsia="zh-CN"/>
              </w:rPr>
            </w:pPr>
            <w:r>
              <w:rPr>
                <w:rFonts w:hint="eastAsia"/>
                <w:color w:val="auto"/>
                <w:lang w:val="en-US" w:eastAsia="zh-CN"/>
              </w:rPr>
              <w:t>8.职业健康安全防护</w:t>
            </w:r>
          </w:p>
          <w:p>
            <w:pPr>
              <w:spacing w:line="280" w:lineRule="exact"/>
              <w:ind w:firstLine="420" w:firstLineChars="200"/>
              <w:rPr>
                <w:rFonts w:hint="eastAsia"/>
                <w:color w:val="auto"/>
                <w:lang w:val="en-US" w:eastAsia="zh-CN"/>
              </w:rPr>
            </w:pPr>
            <w:r>
              <w:rPr>
                <w:rFonts w:hint="eastAsia"/>
                <w:color w:val="auto"/>
                <w:lang w:val="en-US" w:eastAsia="zh-CN"/>
              </w:rPr>
              <w:t>组织遵循当地政府疫情防控要求，进入厂区均要求扫码，查看双码，测体温等。基本符合防护要求。</w:t>
            </w:r>
          </w:p>
          <w:p>
            <w:pPr>
              <w:spacing w:line="280" w:lineRule="exact"/>
              <w:ind w:firstLine="420" w:firstLineChars="200"/>
              <w:rPr>
                <w:rFonts w:hint="default"/>
                <w:color w:val="auto"/>
                <w:lang w:val="en-US" w:eastAsia="zh-CN"/>
              </w:rPr>
            </w:pPr>
            <w:r>
              <w:rPr>
                <w:rFonts w:hint="eastAsia"/>
                <w:color w:val="auto"/>
                <w:lang w:val="en-US" w:eastAsia="zh-CN"/>
              </w:rPr>
              <w:t>体系运行以来，截止审核期间，组织的工艺、设备、人员基本无变化，未发生相应的变更，无相关记录。</w:t>
            </w:r>
          </w:p>
          <w:p>
            <w:pPr>
              <w:bidi w:val="0"/>
              <w:ind w:firstLine="420" w:firstLineChars="200"/>
              <w:rPr>
                <w:rFonts w:hint="eastAsia"/>
                <w:lang w:val="en-US" w:eastAsia="zh-CN"/>
              </w:rPr>
            </w:pPr>
            <w:r>
              <w:rPr>
                <w:rFonts w:hint="eastAsia"/>
                <w:color w:val="auto"/>
                <w:lang w:val="en-US" w:eastAsia="zh-CN"/>
              </w:rPr>
              <w:t>采购部总体环境策划和管控基本符合要求，其它策划、运行控制见安环部EO8.1记录。</w:t>
            </w:r>
          </w:p>
        </w:tc>
        <w:tc>
          <w:tcPr>
            <w:tcW w:w="1585" w:type="dxa"/>
          </w:tcPr>
          <w:p>
            <w:pPr>
              <w:bidi w:val="0"/>
              <w:rPr>
                <w:rFonts w:hint="default"/>
                <w:lang w:val="en-US" w:eastAsia="zh-CN"/>
              </w:rPr>
            </w:pPr>
            <w:r>
              <w:rPr>
                <w:rFonts w:hint="eastAsia"/>
                <w:lang w:val="en-US" w:eastAsia="zh-CN"/>
              </w:rPr>
              <w:t>Y</w:t>
            </w:r>
          </w:p>
        </w:tc>
      </w:tr>
    </w:tbl>
    <w:p>
      <w:pPr>
        <w:pStyle w:val="6"/>
        <w:ind w:left="0" w:leftChars="0" w:firstLine="0" w:firstLineChars="0"/>
        <w:rPr>
          <w:rFonts w:hint="eastAsia" w:ascii="Times New Roman" w:hAnsi="Times New Roman" w:eastAsia="华文细黑" w:cs="Times New Roman"/>
          <w:color w:val="auto"/>
          <w:kern w:val="2"/>
          <w:sz w:val="21"/>
          <w:lang w:val="en-US" w:eastAsia="zh-CN" w:bidi="ar-SA"/>
        </w:rPr>
      </w:pPr>
    </w:p>
    <w:p>
      <w:pPr>
        <w:pStyle w:val="6"/>
        <w:ind w:left="0" w:leftChars="0" w:firstLine="0" w:firstLineChars="0"/>
        <w:rPr>
          <w:rFonts w:hint="default" w:ascii="Times New Roman" w:hAnsi="Times New Roman" w:eastAsia="华文细黑" w:cs="Times New Roman"/>
          <w:color w:val="auto"/>
          <w:kern w:val="2"/>
          <w:sz w:val="21"/>
          <w:lang w:val="en-US" w:eastAsia="zh-CN" w:bidi="ar-SA"/>
        </w:rPr>
      </w:pPr>
      <w:r>
        <w:rPr>
          <w:rFonts w:hint="eastAsia" w:ascii="Times New Roman" w:hAnsi="Times New Roman" w:eastAsia="华文细黑" w:cs="Times New Roman"/>
          <w:color w:val="auto"/>
          <w:kern w:val="2"/>
          <w:sz w:val="21"/>
          <w:lang w:val="en-US" w:eastAsia="zh-CN" w:bidi="ar-SA"/>
        </w:rPr>
        <w:t>注：符合标注Y，不符合标注N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9"/>
      <w:pBdr>
        <w:bottom w:val="none" w:color="auto" w:sz="0" w:space="0"/>
      </w:pBdr>
      <w:spacing w:line="320" w:lineRule="exact"/>
      <w:ind w:firstLine="756" w:firstLineChars="400"/>
      <w:jc w:val="left"/>
    </w:pPr>
    <w:r>
      <w:rPr>
        <w:rStyle w:val="15"/>
        <w:rFonts w:hint="default"/>
        <w:w w:val="90"/>
      </w:rPr>
      <w:t>Beijing International Standard united Certification Co.,Ltd.</w:t>
    </w:r>
  </w:p>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822192"/>
    <w:multiLevelType w:val="multilevel"/>
    <w:tmpl w:val="4382219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9F02D1B"/>
    <w:multiLevelType w:val="multilevel"/>
    <w:tmpl w:val="59F02D1B"/>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72F323EF"/>
    <w:multiLevelType w:val="multilevel"/>
    <w:tmpl w:val="72F323EF"/>
    <w:lvl w:ilvl="0" w:tentative="0">
      <w:start w:val="1"/>
      <w:numFmt w:val="decimal"/>
      <w:lvlText w:val="%1、"/>
      <w:lvlJc w:val="left"/>
      <w:pPr>
        <w:tabs>
          <w:tab w:val="left" w:pos="360"/>
        </w:tabs>
        <w:ind w:left="360" w:hanging="360"/>
      </w:pPr>
      <w:rPr>
        <w:rFonts w:hint="default"/>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xNmFjM2JiM2E0NTA2NDBlNDc5ZjJlODAzODVlOTAifQ=="/>
  </w:docVars>
  <w:rsids>
    <w:rsidRoot w:val="00DD4B80"/>
    <w:rsid w:val="0001713F"/>
    <w:rsid w:val="000477B8"/>
    <w:rsid w:val="000B7900"/>
    <w:rsid w:val="000F7902"/>
    <w:rsid w:val="00127F7B"/>
    <w:rsid w:val="00183A7A"/>
    <w:rsid w:val="0022273D"/>
    <w:rsid w:val="00275B91"/>
    <w:rsid w:val="003010DA"/>
    <w:rsid w:val="00357FBC"/>
    <w:rsid w:val="003B7004"/>
    <w:rsid w:val="004078AB"/>
    <w:rsid w:val="004151E1"/>
    <w:rsid w:val="00477697"/>
    <w:rsid w:val="004B16A6"/>
    <w:rsid w:val="005B321D"/>
    <w:rsid w:val="005F00FB"/>
    <w:rsid w:val="00675481"/>
    <w:rsid w:val="0069333A"/>
    <w:rsid w:val="006D6AFE"/>
    <w:rsid w:val="007C65D6"/>
    <w:rsid w:val="009221D5"/>
    <w:rsid w:val="00951F9E"/>
    <w:rsid w:val="00954EA8"/>
    <w:rsid w:val="009C3AF7"/>
    <w:rsid w:val="00A07938"/>
    <w:rsid w:val="00AB02D4"/>
    <w:rsid w:val="00B36031"/>
    <w:rsid w:val="00B67994"/>
    <w:rsid w:val="00BB6546"/>
    <w:rsid w:val="00D56FEB"/>
    <w:rsid w:val="00DD4B80"/>
    <w:rsid w:val="00E474A5"/>
    <w:rsid w:val="00E61681"/>
    <w:rsid w:val="00EF3EBB"/>
    <w:rsid w:val="00F804BA"/>
    <w:rsid w:val="015C28DD"/>
    <w:rsid w:val="016D5FEA"/>
    <w:rsid w:val="02EE3C38"/>
    <w:rsid w:val="02F1058A"/>
    <w:rsid w:val="03186B20"/>
    <w:rsid w:val="0349599C"/>
    <w:rsid w:val="03EA43FF"/>
    <w:rsid w:val="045E2284"/>
    <w:rsid w:val="046A7076"/>
    <w:rsid w:val="046C20E9"/>
    <w:rsid w:val="04934870"/>
    <w:rsid w:val="051C4A8C"/>
    <w:rsid w:val="05D13AC9"/>
    <w:rsid w:val="05F24A7A"/>
    <w:rsid w:val="061D118D"/>
    <w:rsid w:val="06C4795C"/>
    <w:rsid w:val="070C18B2"/>
    <w:rsid w:val="071A704A"/>
    <w:rsid w:val="075E0DB2"/>
    <w:rsid w:val="07886409"/>
    <w:rsid w:val="07E60BDB"/>
    <w:rsid w:val="08493AC0"/>
    <w:rsid w:val="08C6412D"/>
    <w:rsid w:val="09093579"/>
    <w:rsid w:val="0A2A19F9"/>
    <w:rsid w:val="0A645E0E"/>
    <w:rsid w:val="0AAB6D55"/>
    <w:rsid w:val="0AAC5A88"/>
    <w:rsid w:val="0ABD1C25"/>
    <w:rsid w:val="0B2B6820"/>
    <w:rsid w:val="0B667F92"/>
    <w:rsid w:val="0B7C0007"/>
    <w:rsid w:val="0B9C575C"/>
    <w:rsid w:val="0C652459"/>
    <w:rsid w:val="0C6F1F1A"/>
    <w:rsid w:val="0CD1706B"/>
    <w:rsid w:val="0D22380E"/>
    <w:rsid w:val="0D5E4F63"/>
    <w:rsid w:val="0D8D55CF"/>
    <w:rsid w:val="0DED74DE"/>
    <w:rsid w:val="0EC67291"/>
    <w:rsid w:val="0F0A44F4"/>
    <w:rsid w:val="0FA43FFC"/>
    <w:rsid w:val="10805BC6"/>
    <w:rsid w:val="11274EE5"/>
    <w:rsid w:val="11600FD3"/>
    <w:rsid w:val="11843FEF"/>
    <w:rsid w:val="11CB1CF2"/>
    <w:rsid w:val="120174E4"/>
    <w:rsid w:val="12D87F7D"/>
    <w:rsid w:val="12ED5CBA"/>
    <w:rsid w:val="136044BA"/>
    <w:rsid w:val="13AC657F"/>
    <w:rsid w:val="13C82EA6"/>
    <w:rsid w:val="14792020"/>
    <w:rsid w:val="148C320E"/>
    <w:rsid w:val="14B35332"/>
    <w:rsid w:val="150C1BA5"/>
    <w:rsid w:val="15567B46"/>
    <w:rsid w:val="15924309"/>
    <w:rsid w:val="15A46EB6"/>
    <w:rsid w:val="16380F1D"/>
    <w:rsid w:val="16807640"/>
    <w:rsid w:val="168C7062"/>
    <w:rsid w:val="16EB2510"/>
    <w:rsid w:val="17105BFE"/>
    <w:rsid w:val="17A105EC"/>
    <w:rsid w:val="17D228C8"/>
    <w:rsid w:val="17DC33B7"/>
    <w:rsid w:val="17F90310"/>
    <w:rsid w:val="18013CA5"/>
    <w:rsid w:val="1881312C"/>
    <w:rsid w:val="188E5849"/>
    <w:rsid w:val="18AE3F83"/>
    <w:rsid w:val="18B679C2"/>
    <w:rsid w:val="18E62767"/>
    <w:rsid w:val="19523EB7"/>
    <w:rsid w:val="19E576EB"/>
    <w:rsid w:val="19EE47F1"/>
    <w:rsid w:val="1A0E7A17"/>
    <w:rsid w:val="1A255D39"/>
    <w:rsid w:val="1A2C356C"/>
    <w:rsid w:val="1A4E34E2"/>
    <w:rsid w:val="1AA65DED"/>
    <w:rsid w:val="1AB64BE3"/>
    <w:rsid w:val="1AF80913"/>
    <w:rsid w:val="1B3A4345"/>
    <w:rsid w:val="1B3A6C10"/>
    <w:rsid w:val="1BE14E2C"/>
    <w:rsid w:val="1BEA1A8C"/>
    <w:rsid w:val="1C8A6D4D"/>
    <w:rsid w:val="1C93342E"/>
    <w:rsid w:val="1CC7757C"/>
    <w:rsid w:val="1CFC7225"/>
    <w:rsid w:val="1D082061"/>
    <w:rsid w:val="1D9D4085"/>
    <w:rsid w:val="1DA779BC"/>
    <w:rsid w:val="1DFC77B9"/>
    <w:rsid w:val="1E8F7095"/>
    <w:rsid w:val="1F7501DC"/>
    <w:rsid w:val="1FA00991"/>
    <w:rsid w:val="1FAF4A23"/>
    <w:rsid w:val="1FC55C88"/>
    <w:rsid w:val="1FCB2204"/>
    <w:rsid w:val="203A1613"/>
    <w:rsid w:val="206F7D0E"/>
    <w:rsid w:val="20DB3D0D"/>
    <w:rsid w:val="2140210E"/>
    <w:rsid w:val="22C95DFC"/>
    <w:rsid w:val="23442C94"/>
    <w:rsid w:val="24194B61"/>
    <w:rsid w:val="242D03AD"/>
    <w:rsid w:val="24F609FE"/>
    <w:rsid w:val="250F5524"/>
    <w:rsid w:val="252512E3"/>
    <w:rsid w:val="25315265"/>
    <w:rsid w:val="25756628"/>
    <w:rsid w:val="268D2FFB"/>
    <w:rsid w:val="26D0706A"/>
    <w:rsid w:val="26FD42C6"/>
    <w:rsid w:val="27320299"/>
    <w:rsid w:val="274E12DC"/>
    <w:rsid w:val="27600522"/>
    <w:rsid w:val="27614ECC"/>
    <w:rsid w:val="276553E4"/>
    <w:rsid w:val="27FF6615"/>
    <w:rsid w:val="28AA222B"/>
    <w:rsid w:val="297351A7"/>
    <w:rsid w:val="299623AE"/>
    <w:rsid w:val="29FE2227"/>
    <w:rsid w:val="2A455CF6"/>
    <w:rsid w:val="2A9104B9"/>
    <w:rsid w:val="2B073405"/>
    <w:rsid w:val="2B9B1DAA"/>
    <w:rsid w:val="2B9F60CC"/>
    <w:rsid w:val="2BD101B3"/>
    <w:rsid w:val="2BDA7663"/>
    <w:rsid w:val="2BE87086"/>
    <w:rsid w:val="2BFF706A"/>
    <w:rsid w:val="2C603126"/>
    <w:rsid w:val="2C7F347A"/>
    <w:rsid w:val="2CA156F3"/>
    <w:rsid w:val="2CBE44F7"/>
    <w:rsid w:val="2CF77A09"/>
    <w:rsid w:val="2D4002EB"/>
    <w:rsid w:val="2D922082"/>
    <w:rsid w:val="2DB15406"/>
    <w:rsid w:val="2DB7618A"/>
    <w:rsid w:val="2DC25921"/>
    <w:rsid w:val="2DD83397"/>
    <w:rsid w:val="2DF6386B"/>
    <w:rsid w:val="2E630539"/>
    <w:rsid w:val="2EDC6EB7"/>
    <w:rsid w:val="2F7E7F6E"/>
    <w:rsid w:val="2FE651F9"/>
    <w:rsid w:val="302C4E61"/>
    <w:rsid w:val="30D862EC"/>
    <w:rsid w:val="30EB7C08"/>
    <w:rsid w:val="321107B9"/>
    <w:rsid w:val="322748ED"/>
    <w:rsid w:val="32CD259C"/>
    <w:rsid w:val="332A37E3"/>
    <w:rsid w:val="33877DBC"/>
    <w:rsid w:val="33C27A0B"/>
    <w:rsid w:val="34015AC0"/>
    <w:rsid w:val="34983880"/>
    <w:rsid w:val="34A9783B"/>
    <w:rsid w:val="34D83195"/>
    <w:rsid w:val="350D36A9"/>
    <w:rsid w:val="351651A1"/>
    <w:rsid w:val="35521BC3"/>
    <w:rsid w:val="35A149B6"/>
    <w:rsid w:val="35E4111A"/>
    <w:rsid w:val="35FC1BEC"/>
    <w:rsid w:val="36032F7B"/>
    <w:rsid w:val="36411FAE"/>
    <w:rsid w:val="36475CBC"/>
    <w:rsid w:val="36764F96"/>
    <w:rsid w:val="36995394"/>
    <w:rsid w:val="38B968E2"/>
    <w:rsid w:val="38D43340"/>
    <w:rsid w:val="38D95337"/>
    <w:rsid w:val="38E85A27"/>
    <w:rsid w:val="391B28D2"/>
    <w:rsid w:val="39F84006"/>
    <w:rsid w:val="39FA50EF"/>
    <w:rsid w:val="3A6A35C8"/>
    <w:rsid w:val="3ABF2648"/>
    <w:rsid w:val="3B2220F5"/>
    <w:rsid w:val="3B271B74"/>
    <w:rsid w:val="3B48408B"/>
    <w:rsid w:val="3B85317D"/>
    <w:rsid w:val="3BD93EF1"/>
    <w:rsid w:val="3C2D4BF2"/>
    <w:rsid w:val="3CBF5AA0"/>
    <w:rsid w:val="3D3E7892"/>
    <w:rsid w:val="3D92667F"/>
    <w:rsid w:val="3DA52083"/>
    <w:rsid w:val="3EAB082D"/>
    <w:rsid w:val="4003621A"/>
    <w:rsid w:val="40704A37"/>
    <w:rsid w:val="40BC1A2E"/>
    <w:rsid w:val="40EF685E"/>
    <w:rsid w:val="40F07371"/>
    <w:rsid w:val="40F176DC"/>
    <w:rsid w:val="41753148"/>
    <w:rsid w:val="41C00698"/>
    <w:rsid w:val="41D42C99"/>
    <w:rsid w:val="421C6944"/>
    <w:rsid w:val="422A188F"/>
    <w:rsid w:val="427B0293"/>
    <w:rsid w:val="429E4757"/>
    <w:rsid w:val="42A359F3"/>
    <w:rsid w:val="42FC322C"/>
    <w:rsid w:val="431A6BB2"/>
    <w:rsid w:val="4352109E"/>
    <w:rsid w:val="43A6084D"/>
    <w:rsid w:val="43C8709D"/>
    <w:rsid w:val="43FE2FD4"/>
    <w:rsid w:val="4406591D"/>
    <w:rsid w:val="449576D9"/>
    <w:rsid w:val="44D31FA0"/>
    <w:rsid w:val="44D473C9"/>
    <w:rsid w:val="451B0F59"/>
    <w:rsid w:val="45777764"/>
    <w:rsid w:val="459404FE"/>
    <w:rsid w:val="45C06792"/>
    <w:rsid w:val="45C320C4"/>
    <w:rsid w:val="45D500AC"/>
    <w:rsid w:val="46252EF5"/>
    <w:rsid w:val="471D14E6"/>
    <w:rsid w:val="478E10DC"/>
    <w:rsid w:val="48E8739E"/>
    <w:rsid w:val="490520E3"/>
    <w:rsid w:val="4974308B"/>
    <w:rsid w:val="49A70490"/>
    <w:rsid w:val="49B56541"/>
    <w:rsid w:val="4A772F7E"/>
    <w:rsid w:val="4A90328C"/>
    <w:rsid w:val="4BB5234C"/>
    <w:rsid w:val="4BCE772F"/>
    <w:rsid w:val="4C0D2006"/>
    <w:rsid w:val="4C9E2EFD"/>
    <w:rsid w:val="4CC60CF3"/>
    <w:rsid w:val="4CCB4D5A"/>
    <w:rsid w:val="4D037FD5"/>
    <w:rsid w:val="4D6C2FA6"/>
    <w:rsid w:val="4DA70238"/>
    <w:rsid w:val="4E333039"/>
    <w:rsid w:val="4F00665C"/>
    <w:rsid w:val="4F035559"/>
    <w:rsid w:val="4F82475E"/>
    <w:rsid w:val="5027615E"/>
    <w:rsid w:val="503306B2"/>
    <w:rsid w:val="50850871"/>
    <w:rsid w:val="50AD27A5"/>
    <w:rsid w:val="50D17AA6"/>
    <w:rsid w:val="51023272"/>
    <w:rsid w:val="512E39E9"/>
    <w:rsid w:val="51356BF3"/>
    <w:rsid w:val="518B730D"/>
    <w:rsid w:val="52427DEA"/>
    <w:rsid w:val="52FA3970"/>
    <w:rsid w:val="52FA56D6"/>
    <w:rsid w:val="53450891"/>
    <w:rsid w:val="53FA37B7"/>
    <w:rsid w:val="54272600"/>
    <w:rsid w:val="543F2D91"/>
    <w:rsid w:val="55791863"/>
    <w:rsid w:val="55A25C1A"/>
    <w:rsid w:val="55B17EA6"/>
    <w:rsid w:val="55E22C1A"/>
    <w:rsid w:val="55FA299F"/>
    <w:rsid w:val="56376C88"/>
    <w:rsid w:val="56982E14"/>
    <w:rsid w:val="56C816DB"/>
    <w:rsid w:val="56DA00C8"/>
    <w:rsid w:val="5827444F"/>
    <w:rsid w:val="585F008D"/>
    <w:rsid w:val="58BA0B75"/>
    <w:rsid w:val="594E09F4"/>
    <w:rsid w:val="595375B9"/>
    <w:rsid w:val="599F0988"/>
    <w:rsid w:val="59A55023"/>
    <w:rsid w:val="59C52172"/>
    <w:rsid w:val="5AE147BC"/>
    <w:rsid w:val="5B052E2E"/>
    <w:rsid w:val="5B155CF4"/>
    <w:rsid w:val="5C1B4F72"/>
    <w:rsid w:val="5C781BA0"/>
    <w:rsid w:val="5C894AEF"/>
    <w:rsid w:val="5CF214D0"/>
    <w:rsid w:val="5DA46146"/>
    <w:rsid w:val="5DAC2F4C"/>
    <w:rsid w:val="5DB47FE2"/>
    <w:rsid w:val="5DC3100C"/>
    <w:rsid w:val="5E4056C3"/>
    <w:rsid w:val="5E510478"/>
    <w:rsid w:val="5E695629"/>
    <w:rsid w:val="5EC073AC"/>
    <w:rsid w:val="5ED548D9"/>
    <w:rsid w:val="5FEA2868"/>
    <w:rsid w:val="600E2614"/>
    <w:rsid w:val="607414BF"/>
    <w:rsid w:val="60F55966"/>
    <w:rsid w:val="610177F7"/>
    <w:rsid w:val="61506410"/>
    <w:rsid w:val="61DC62AA"/>
    <w:rsid w:val="62692263"/>
    <w:rsid w:val="62B44726"/>
    <w:rsid w:val="633E4315"/>
    <w:rsid w:val="63911317"/>
    <w:rsid w:val="63A11FF7"/>
    <w:rsid w:val="643D2DE7"/>
    <w:rsid w:val="64D21DCE"/>
    <w:rsid w:val="64DD2A65"/>
    <w:rsid w:val="64F47DAF"/>
    <w:rsid w:val="65BC6B1F"/>
    <w:rsid w:val="66CD08B8"/>
    <w:rsid w:val="671B5AC7"/>
    <w:rsid w:val="675D60DF"/>
    <w:rsid w:val="67C21B9B"/>
    <w:rsid w:val="686A00AF"/>
    <w:rsid w:val="68A27701"/>
    <w:rsid w:val="68DE4FFE"/>
    <w:rsid w:val="68F377FF"/>
    <w:rsid w:val="69C42446"/>
    <w:rsid w:val="6ABC27E3"/>
    <w:rsid w:val="6AC723EB"/>
    <w:rsid w:val="6B546B12"/>
    <w:rsid w:val="6B925998"/>
    <w:rsid w:val="6B93461B"/>
    <w:rsid w:val="6B9D5758"/>
    <w:rsid w:val="6BD55623"/>
    <w:rsid w:val="6D0D5EB2"/>
    <w:rsid w:val="6D27229E"/>
    <w:rsid w:val="6E001573"/>
    <w:rsid w:val="6E7E0E23"/>
    <w:rsid w:val="6EAB3BD4"/>
    <w:rsid w:val="6EAD3A07"/>
    <w:rsid w:val="6F245F17"/>
    <w:rsid w:val="6F611B12"/>
    <w:rsid w:val="6FF76554"/>
    <w:rsid w:val="70DA42FD"/>
    <w:rsid w:val="7198114F"/>
    <w:rsid w:val="71A118AB"/>
    <w:rsid w:val="71C32FE3"/>
    <w:rsid w:val="72870020"/>
    <w:rsid w:val="72CE5B76"/>
    <w:rsid w:val="73685F85"/>
    <w:rsid w:val="73AB01D2"/>
    <w:rsid w:val="74467432"/>
    <w:rsid w:val="74684BCE"/>
    <w:rsid w:val="749B75C3"/>
    <w:rsid w:val="749F57AF"/>
    <w:rsid w:val="751A73BE"/>
    <w:rsid w:val="75476C1E"/>
    <w:rsid w:val="75A4653C"/>
    <w:rsid w:val="76315091"/>
    <w:rsid w:val="76533CE0"/>
    <w:rsid w:val="76DE7B3C"/>
    <w:rsid w:val="77245053"/>
    <w:rsid w:val="773762B2"/>
    <w:rsid w:val="77525C74"/>
    <w:rsid w:val="779B11A0"/>
    <w:rsid w:val="77B93329"/>
    <w:rsid w:val="77BF7A05"/>
    <w:rsid w:val="77C4480D"/>
    <w:rsid w:val="77E46871"/>
    <w:rsid w:val="77EF50EB"/>
    <w:rsid w:val="784719C3"/>
    <w:rsid w:val="78D44883"/>
    <w:rsid w:val="794C6296"/>
    <w:rsid w:val="79CA4CEB"/>
    <w:rsid w:val="79DD09BA"/>
    <w:rsid w:val="7A962CD9"/>
    <w:rsid w:val="7AD4000F"/>
    <w:rsid w:val="7AE34D15"/>
    <w:rsid w:val="7B587A97"/>
    <w:rsid w:val="7B90127E"/>
    <w:rsid w:val="7CD216FD"/>
    <w:rsid w:val="7D3D564F"/>
    <w:rsid w:val="7D497343"/>
    <w:rsid w:val="7D9D3A60"/>
    <w:rsid w:val="7DD27F64"/>
    <w:rsid w:val="7EB0088F"/>
    <w:rsid w:val="7F761840"/>
    <w:rsid w:val="7FA66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细黑" w:cs="Times New Roman"/>
      <w:kern w:val="2"/>
      <w:sz w:val="21"/>
      <w:lang w:val="en-US" w:eastAsia="zh-CN" w:bidi="ar-SA"/>
    </w:rPr>
  </w:style>
  <w:style w:type="paragraph" w:styleId="2">
    <w:name w:val="heading 1"/>
    <w:basedOn w:val="1"/>
    <w:next w:val="1"/>
    <w:qFormat/>
    <w:uiPriority w:val="0"/>
    <w:pPr>
      <w:autoSpaceDE w:val="0"/>
      <w:autoSpaceDN w:val="0"/>
      <w:adjustRightInd w:val="0"/>
      <w:jc w:val="center"/>
      <w:outlineLvl w:val="0"/>
    </w:pPr>
    <w:rPr>
      <w:color w:val="FFFF00"/>
      <w:kern w:val="0"/>
      <w:sz w:val="44"/>
      <w:szCs w:val="20"/>
    </w:rPr>
  </w:style>
  <w:style w:type="paragraph" w:styleId="3">
    <w:name w:val="heading 2"/>
    <w:basedOn w:val="1"/>
    <w:next w:val="4"/>
    <w:qFormat/>
    <w:uiPriority w:val="0"/>
    <w:pPr>
      <w:keepNext/>
      <w:keepLines/>
      <w:numPr>
        <w:ilvl w:val="0"/>
        <w:numId w:val="1"/>
      </w:numPr>
      <w:adjustRightInd w:val="0"/>
      <w:snapToGrid w:val="0"/>
      <w:spacing w:before="50" w:beforeLines="50" w:after="50" w:afterLines="50" w:line="240" w:lineRule="auto"/>
      <w:ind w:left="0" w:firstLine="0"/>
      <w:jc w:val="left"/>
      <w:outlineLvl w:val="1"/>
    </w:pPr>
    <w:rPr>
      <w:rFonts w:ascii="宋体" w:hAnsi="宋体" w:eastAsia="宋体" w:cs="Times New Roman"/>
      <w:b/>
      <w:bCs/>
      <w:sz w:val="28"/>
      <w:szCs w:val="32"/>
      <w:lang w:val="zh-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line="312" w:lineRule="auto"/>
    </w:pPr>
    <w:rPr>
      <w:rFonts w:ascii="Arial" w:hAnsi="Arial" w:eastAsia="楷体_GB2312"/>
      <w:spacing w:val="20"/>
      <w:sz w:val="24"/>
      <w:szCs w:val="20"/>
    </w:rPr>
  </w:style>
  <w:style w:type="paragraph" w:customStyle="1" w:styleId="5">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6">
    <w:name w:val="Normal Indent"/>
    <w:basedOn w:val="1"/>
    <w:semiHidden/>
    <w:unhideWhenUsed/>
    <w:qFormat/>
    <w:uiPriority w:val="99"/>
    <w:pPr>
      <w:ind w:firstLine="420" w:firstLineChars="200"/>
    </w:pPr>
  </w:style>
  <w:style w:type="paragraph" w:styleId="7">
    <w:name w:val="Balloon Text"/>
    <w:basedOn w:val="1"/>
    <w:link w:val="14"/>
    <w:semiHidden/>
    <w:unhideWhenUsed/>
    <w:qFormat/>
    <w:uiPriority w:val="99"/>
    <w:rPr>
      <w:sz w:val="18"/>
      <w:szCs w:val="18"/>
    </w:r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paragraph" w:styleId="9">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页眉 字符"/>
    <w:basedOn w:val="11"/>
    <w:link w:val="9"/>
    <w:qFormat/>
    <w:uiPriority w:val="99"/>
    <w:rPr>
      <w:rFonts w:ascii="Times New Roman" w:hAnsi="Times New Roman" w:eastAsia="宋体" w:cs="Times New Roman"/>
      <w:sz w:val="18"/>
      <w:szCs w:val="18"/>
    </w:rPr>
  </w:style>
  <w:style w:type="character" w:customStyle="1" w:styleId="13">
    <w:name w:val="页脚 字符"/>
    <w:basedOn w:val="11"/>
    <w:link w:val="8"/>
    <w:qFormat/>
    <w:uiPriority w:val="99"/>
    <w:rPr>
      <w:rFonts w:ascii="Times New Roman" w:hAnsi="Times New Roman" w:eastAsia="宋体" w:cs="Times New Roman"/>
      <w:sz w:val="18"/>
      <w:szCs w:val="18"/>
    </w:rPr>
  </w:style>
  <w:style w:type="character" w:customStyle="1" w:styleId="14">
    <w:name w:val="批注框文本 字符"/>
    <w:basedOn w:val="11"/>
    <w:link w:val="7"/>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ind w:firstLine="420" w:firstLineChars="200"/>
    </w:pPr>
    <w:rPr>
      <w:rFonts w:ascii="Calibri" w:hAnsi="Calibri"/>
      <w:sz w:val="24"/>
      <w:szCs w:val="22"/>
    </w:rPr>
  </w:style>
  <w:style w:type="paragraph" w:customStyle="1" w:styleId="17">
    <w:name w:val="表格文字"/>
    <w:basedOn w:val="1"/>
    <w:qFormat/>
    <w:uiPriority w:val="0"/>
    <w:pPr>
      <w:spacing w:before="25" w:after="25"/>
    </w:pPr>
    <w:rPr>
      <w:bCs/>
      <w:spacing w:val="10"/>
    </w:rPr>
  </w:style>
  <w:style w:type="paragraph" w:styleId="18">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9686</Words>
  <Characters>10461</Characters>
  <Lines>69</Lines>
  <Paragraphs>19</Paragraphs>
  <TotalTime>1</TotalTime>
  <ScaleCrop>false</ScaleCrop>
  <LinksUpToDate>false</LinksUpToDate>
  <CharactersWithSpaces>10569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wangxianhua</cp:lastModifiedBy>
  <dcterms:modified xsi:type="dcterms:W3CDTF">2022-10-31T06:24:07Z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90D9A22C31F842A4A2EAC32217501A91</vt:lpwstr>
  </property>
</Properties>
</file>