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rFonts w:hint="eastAsia"/>
                <w:sz w:val="24"/>
                <w:szCs w:val="24"/>
              </w:rPr>
              <w:t>主管领导：胡南堂</w:t>
            </w:r>
            <w:r>
              <w:rPr>
                <w:rFonts w:hint="eastAsia"/>
                <w:sz w:val="24"/>
                <w:szCs w:val="24"/>
                <w:lang w:eastAsia="zh-CN"/>
              </w:rPr>
              <w:t>；</w:t>
            </w:r>
            <w:r>
              <w:rPr>
                <w:rFonts w:hint="eastAsia"/>
                <w:sz w:val="24"/>
                <w:szCs w:val="24"/>
              </w:rPr>
              <w:t>陪同人员：赵阳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周文；方式：远程；工具：微信，手机；</w:t>
            </w:r>
            <w:r>
              <w:rPr>
                <w:rFonts w:hint="eastAsia"/>
                <w:sz w:val="24"/>
                <w:szCs w:val="24"/>
              </w:rPr>
              <w:t>审核时间：</w:t>
            </w:r>
            <w:bookmarkStart w:id="0" w:name="审核日期"/>
            <w:r>
              <w:t>2022年10月14日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jc w:val="left"/>
              <w:rPr>
                <w:rFonts w:hint="eastAsia"/>
                <w:sz w:val="24"/>
                <w:szCs w:val="24"/>
              </w:rPr>
            </w:pPr>
            <w:r>
              <w:rPr>
                <w:rFonts w:hint="eastAsia"/>
                <w:sz w:val="24"/>
                <w:szCs w:val="24"/>
              </w:rPr>
              <w:t>审核条款：</w:t>
            </w:r>
          </w:p>
          <w:p>
            <w:pPr>
              <w:tabs>
                <w:tab w:val="left" w:pos="709"/>
              </w:tabs>
              <w:ind w:right="57"/>
              <w:jc w:val="left"/>
              <w:rPr>
                <w:rFonts w:hint="eastAsia" w:eastAsia="宋体"/>
                <w:sz w:val="21"/>
                <w:szCs w:val="21"/>
                <w:lang w:eastAsia="zh-CN"/>
              </w:rPr>
            </w:pPr>
            <w:r>
              <w:rPr>
                <w:rFonts w:hint="eastAsia"/>
                <w:sz w:val="21"/>
                <w:szCs w:val="21"/>
              </w:rPr>
              <w:t>EMS：4.1</w:t>
            </w:r>
            <w:r>
              <w:rPr>
                <w:rFonts w:hint="eastAsia"/>
                <w:sz w:val="21"/>
                <w:szCs w:val="21"/>
                <w:lang w:eastAsia="zh-CN"/>
              </w:rPr>
              <w:t>，</w:t>
            </w:r>
            <w:r>
              <w:rPr>
                <w:rFonts w:hint="eastAsia"/>
                <w:sz w:val="21"/>
                <w:szCs w:val="21"/>
              </w:rPr>
              <w:t xml:space="preserve"> 4.2 </w:t>
            </w:r>
            <w:r>
              <w:rPr>
                <w:rFonts w:hint="eastAsia"/>
                <w:sz w:val="21"/>
                <w:szCs w:val="21"/>
                <w:lang w:eastAsia="zh-CN"/>
              </w:rPr>
              <w:t>，</w:t>
            </w:r>
            <w:r>
              <w:rPr>
                <w:rFonts w:hint="eastAsia"/>
                <w:sz w:val="21"/>
                <w:szCs w:val="21"/>
              </w:rPr>
              <w:t xml:space="preserve">4.3 </w:t>
            </w:r>
            <w:r>
              <w:rPr>
                <w:rFonts w:hint="eastAsia"/>
                <w:sz w:val="21"/>
                <w:szCs w:val="21"/>
                <w:lang w:eastAsia="zh-CN"/>
              </w:rPr>
              <w:t>，</w:t>
            </w:r>
            <w:r>
              <w:rPr>
                <w:rFonts w:hint="eastAsia"/>
                <w:sz w:val="21"/>
                <w:szCs w:val="21"/>
              </w:rPr>
              <w:t xml:space="preserve">4.4 </w:t>
            </w:r>
            <w:r>
              <w:rPr>
                <w:rFonts w:hint="eastAsia"/>
                <w:sz w:val="21"/>
                <w:szCs w:val="21"/>
                <w:lang w:eastAsia="zh-CN"/>
              </w:rPr>
              <w:t>，</w:t>
            </w:r>
            <w:r>
              <w:rPr>
                <w:rFonts w:hint="eastAsia"/>
                <w:sz w:val="21"/>
                <w:szCs w:val="21"/>
              </w:rPr>
              <w:t>5.1</w:t>
            </w:r>
            <w:r>
              <w:rPr>
                <w:rFonts w:hint="eastAsia"/>
                <w:sz w:val="21"/>
                <w:szCs w:val="21"/>
                <w:lang w:eastAsia="zh-CN"/>
              </w:rPr>
              <w:t>，</w:t>
            </w:r>
            <w:r>
              <w:rPr>
                <w:rFonts w:hint="eastAsia"/>
                <w:sz w:val="21"/>
                <w:szCs w:val="21"/>
              </w:rPr>
              <w:t xml:space="preserve"> 5.2 </w:t>
            </w:r>
            <w:r>
              <w:rPr>
                <w:rFonts w:hint="eastAsia"/>
                <w:sz w:val="21"/>
                <w:szCs w:val="21"/>
                <w:lang w:eastAsia="zh-CN"/>
              </w:rPr>
              <w:t>，</w:t>
            </w:r>
            <w:r>
              <w:rPr>
                <w:rFonts w:hint="eastAsia"/>
                <w:sz w:val="21"/>
                <w:szCs w:val="21"/>
              </w:rPr>
              <w:t xml:space="preserve">5.3 </w:t>
            </w:r>
            <w:r>
              <w:rPr>
                <w:rFonts w:hint="eastAsia"/>
                <w:sz w:val="21"/>
                <w:szCs w:val="21"/>
                <w:lang w:eastAsia="zh-CN"/>
              </w:rPr>
              <w:t>，</w:t>
            </w:r>
            <w:r>
              <w:rPr>
                <w:rFonts w:hint="eastAsia"/>
                <w:sz w:val="21"/>
                <w:szCs w:val="21"/>
              </w:rPr>
              <w:t xml:space="preserve">6.1 </w:t>
            </w:r>
            <w:r>
              <w:rPr>
                <w:rFonts w:hint="eastAsia"/>
                <w:sz w:val="21"/>
                <w:szCs w:val="21"/>
                <w:lang w:eastAsia="zh-CN"/>
              </w:rPr>
              <w:t>，</w:t>
            </w:r>
            <w:r>
              <w:rPr>
                <w:rFonts w:hint="eastAsia"/>
                <w:sz w:val="21"/>
                <w:szCs w:val="21"/>
              </w:rPr>
              <w:t xml:space="preserve">6.2 </w:t>
            </w:r>
            <w:r>
              <w:rPr>
                <w:rFonts w:hint="eastAsia"/>
                <w:sz w:val="21"/>
                <w:szCs w:val="21"/>
                <w:lang w:eastAsia="zh-CN"/>
              </w:rPr>
              <w:t>，</w:t>
            </w:r>
            <w:r>
              <w:rPr>
                <w:rFonts w:hint="eastAsia"/>
                <w:sz w:val="21"/>
                <w:szCs w:val="21"/>
              </w:rPr>
              <w:t xml:space="preserve">7.1 </w:t>
            </w:r>
            <w:r>
              <w:rPr>
                <w:rFonts w:hint="eastAsia"/>
                <w:sz w:val="21"/>
                <w:szCs w:val="21"/>
                <w:lang w:eastAsia="zh-CN"/>
              </w:rPr>
              <w:t>，</w:t>
            </w:r>
            <w:r>
              <w:rPr>
                <w:rFonts w:hint="eastAsia"/>
                <w:sz w:val="21"/>
                <w:szCs w:val="21"/>
              </w:rPr>
              <w:t xml:space="preserve"> 9.3 </w:t>
            </w:r>
            <w:r>
              <w:rPr>
                <w:rFonts w:hint="eastAsia"/>
                <w:sz w:val="21"/>
                <w:szCs w:val="21"/>
                <w:lang w:eastAsia="zh-CN"/>
              </w:rPr>
              <w:t>，</w:t>
            </w:r>
            <w:r>
              <w:rPr>
                <w:rFonts w:hint="eastAsia"/>
                <w:sz w:val="21"/>
                <w:szCs w:val="21"/>
              </w:rPr>
              <w:t>10.1</w:t>
            </w:r>
            <w:r>
              <w:rPr>
                <w:rFonts w:hint="eastAsia"/>
                <w:sz w:val="21"/>
                <w:szCs w:val="21"/>
                <w:lang w:eastAsia="zh-CN"/>
              </w:rPr>
              <w:t>；</w:t>
            </w:r>
          </w:p>
          <w:p>
            <w:pPr>
              <w:rPr>
                <w:sz w:val="24"/>
                <w:szCs w:val="24"/>
              </w:rPr>
            </w:pPr>
            <w:r>
              <w:rPr>
                <w:rFonts w:hint="eastAsia"/>
                <w:sz w:val="21"/>
                <w:szCs w:val="21"/>
              </w:rPr>
              <w:t>OHS：4.1</w:t>
            </w:r>
            <w:r>
              <w:rPr>
                <w:rFonts w:hint="eastAsia"/>
                <w:sz w:val="21"/>
                <w:szCs w:val="21"/>
                <w:lang w:eastAsia="zh-CN"/>
              </w:rPr>
              <w:t>，</w:t>
            </w:r>
            <w:r>
              <w:rPr>
                <w:rFonts w:hint="eastAsia"/>
                <w:sz w:val="21"/>
                <w:szCs w:val="21"/>
              </w:rPr>
              <w:t xml:space="preserve"> 4.2 </w:t>
            </w:r>
            <w:r>
              <w:rPr>
                <w:rFonts w:hint="eastAsia"/>
                <w:sz w:val="21"/>
                <w:szCs w:val="21"/>
                <w:lang w:eastAsia="zh-CN"/>
              </w:rPr>
              <w:t>，</w:t>
            </w:r>
            <w:r>
              <w:rPr>
                <w:rFonts w:hint="eastAsia"/>
                <w:sz w:val="21"/>
                <w:szCs w:val="21"/>
              </w:rPr>
              <w:t xml:space="preserve">4.3 </w:t>
            </w:r>
            <w:r>
              <w:rPr>
                <w:rFonts w:hint="eastAsia"/>
                <w:sz w:val="21"/>
                <w:szCs w:val="21"/>
                <w:lang w:eastAsia="zh-CN"/>
              </w:rPr>
              <w:t>，</w:t>
            </w:r>
            <w:r>
              <w:rPr>
                <w:rFonts w:hint="eastAsia"/>
                <w:sz w:val="21"/>
                <w:szCs w:val="21"/>
              </w:rPr>
              <w:t xml:space="preserve">4.4 </w:t>
            </w:r>
            <w:r>
              <w:rPr>
                <w:rFonts w:hint="eastAsia"/>
                <w:sz w:val="21"/>
                <w:szCs w:val="21"/>
                <w:lang w:eastAsia="zh-CN"/>
              </w:rPr>
              <w:t>，</w:t>
            </w:r>
            <w:r>
              <w:rPr>
                <w:rFonts w:hint="eastAsia"/>
                <w:sz w:val="21"/>
                <w:szCs w:val="21"/>
              </w:rPr>
              <w:t>5.1</w:t>
            </w:r>
            <w:r>
              <w:rPr>
                <w:rFonts w:hint="eastAsia"/>
                <w:sz w:val="21"/>
                <w:szCs w:val="21"/>
                <w:lang w:eastAsia="zh-CN"/>
              </w:rPr>
              <w:t>，</w:t>
            </w:r>
            <w:r>
              <w:rPr>
                <w:rFonts w:hint="eastAsia"/>
                <w:sz w:val="21"/>
                <w:szCs w:val="21"/>
              </w:rPr>
              <w:t xml:space="preserve"> 5.2 </w:t>
            </w:r>
            <w:r>
              <w:rPr>
                <w:rFonts w:hint="eastAsia"/>
                <w:sz w:val="21"/>
                <w:szCs w:val="21"/>
                <w:lang w:eastAsia="zh-CN"/>
              </w:rPr>
              <w:t>，</w:t>
            </w:r>
            <w:r>
              <w:rPr>
                <w:rFonts w:hint="eastAsia"/>
                <w:sz w:val="21"/>
                <w:szCs w:val="21"/>
              </w:rPr>
              <w:t xml:space="preserve">5.3 </w:t>
            </w:r>
            <w:r>
              <w:rPr>
                <w:rFonts w:hint="eastAsia"/>
                <w:sz w:val="21"/>
                <w:szCs w:val="21"/>
                <w:lang w:eastAsia="zh-CN"/>
              </w:rPr>
              <w:t>，</w:t>
            </w:r>
            <w:r>
              <w:rPr>
                <w:rFonts w:hint="eastAsia"/>
                <w:sz w:val="21"/>
                <w:szCs w:val="21"/>
                <w:lang w:val="en-US" w:eastAsia="zh-CN"/>
              </w:rPr>
              <w:t xml:space="preserve">5.4， </w:t>
            </w:r>
            <w:r>
              <w:rPr>
                <w:rFonts w:hint="eastAsia"/>
                <w:sz w:val="21"/>
                <w:szCs w:val="21"/>
              </w:rPr>
              <w:t xml:space="preserve">6.1 </w:t>
            </w:r>
            <w:r>
              <w:rPr>
                <w:rFonts w:hint="eastAsia"/>
                <w:sz w:val="21"/>
                <w:szCs w:val="21"/>
                <w:lang w:eastAsia="zh-CN"/>
              </w:rPr>
              <w:t>，</w:t>
            </w:r>
            <w:r>
              <w:rPr>
                <w:rFonts w:hint="eastAsia"/>
                <w:sz w:val="21"/>
                <w:szCs w:val="21"/>
              </w:rPr>
              <w:t xml:space="preserve">6.2 </w:t>
            </w:r>
            <w:r>
              <w:rPr>
                <w:rFonts w:hint="eastAsia"/>
                <w:sz w:val="21"/>
                <w:szCs w:val="21"/>
                <w:lang w:eastAsia="zh-CN"/>
              </w:rPr>
              <w:t>，</w:t>
            </w:r>
            <w:r>
              <w:rPr>
                <w:rFonts w:hint="eastAsia"/>
                <w:sz w:val="21"/>
                <w:szCs w:val="21"/>
              </w:rPr>
              <w:t xml:space="preserve">7.1 </w:t>
            </w:r>
            <w:r>
              <w:rPr>
                <w:rFonts w:hint="eastAsia"/>
                <w:sz w:val="21"/>
                <w:szCs w:val="21"/>
                <w:lang w:eastAsia="zh-CN"/>
              </w:rPr>
              <w:t>，</w:t>
            </w:r>
            <w:r>
              <w:rPr>
                <w:rFonts w:hint="eastAsia"/>
                <w:sz w:val="21"/>
                <w:szCs w:val="21"/>
              </w:rPr>
              <w:t xml:space="preserve"> 9.3 </w:t>
            </w:r>
            <w:r>
              <w:rPr>
                <w:rFonts w:hint="eastAsia"/>
                <w:sz w:val="21"/>
                <w:szCs w:val="21"/>
                <w:lang w:eastAsia="zh-CN"/>
              </w:rPr>
              <w:t>，</w:t>
            </w:r>
            <w:r>
              <w:rPr>
                <w:rFonts w:hint="eastAsia"/>
                <w:sz w:val="21"/>
                <w:szCs w:val="21"/>
              </w:rPr>
              <w:t>10.1</w:t>
            </w:r>
            <w:r>
              <w:rPr>
                <w:rFonts w:hint="eastAsia"/>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709"/>
              </w:tabs>
              <w:spacing w:line="240" w:lineRule="auto"/>
              <w:ind w:right="57"/>
              <w:rPr>
                <w:sz w:val="21"/>
                <w:szCs w:val="21"/>
              </w:rPr>
            </w:pPr>
            <w:r>
              <w:rPr>
                <w:rFonts w:hint="eastAsia"/>
                <w:sz w:val="21"/>
                <w:szCs w:val="21"/>
              </w:rPr>
              <w:t>企业概况及组织体系总体策划和建立过程：</w:t>
            </w:r>
          </w:p>
          <w:p/>
        </w:tc>
        <w:tc>
          <w:tcPr>
            <w:tcW w:w="960" w:type="dxa"/>
          </w:tcPr>
          <w:p>
            <w:r>
              <w:rPr>
                <w:rFonts w:hint="eastAsia"/>
                <w:sz w:val="21"/>
                <w:szCs w:val="21"/>
                <w:lang w:val="en-US" w:eastAsia="zh-CN"/>
              </w:rPr>
              <w:t>ES4.1、4.2、6.1；</w:t>
            </w:r>
          </w:p>
        </w:tc>
        <w:tc>
          <w:tcPr>
            <w:tcW w:w="10004" w:type="dxa"/>
          </w:tcPr>
          <w:p>
            <w:pPr>
              <w:rPr>
                <w:rFonts w:hint="default"/>
                <w:lang w:val="en-US" w:eastAsia="zh-CN"/>
              </w:rPr>
            </w:pPr>
            <w:r>
              <w:rPr>
                <w:rFonts w:hint="eastAsia"/>
                <w:lang w:val="en-US" w:eastAsia="zh-CN"/>
              </w:rPr>
              <w:t>总经理：胡南堂；管代：雷晓辉;员工代表：权晓毅</w:t>
            </w:r>
          </w:p>
          <w:p>
            <w:pPr>
              <w:pStyle w:val="14"/>
              <w:spacing w:line="240" w:lineRule="auto"/>
              <w:ind w:firstLine="420" w:firstLineChars="200"/>
              <w:rPr>
                <w:rFonts w:hint="eastAsia" w:ascii="Times New Roman" w:hAnsi="Times New Roman"/>
                <w:sz w:val="21"/>
                <w:szCs w:val="21"/>
              </w:rPr>
            </w:pPr>
            <w:r>
              <w:rPr>
                <w:rFonts w:hint="eastAsia"/>
                <w:lang w:val="en-US" w:eastAsia="zh-CN"/>
              </w:rPr>
              <w:t>总经理胡南堂</w:t>
            </w:r>
            <w:r>
              <w:rPr>
                <w:rFonts w:hint="eastAsia" w:ascii="Times New Roman" w:hAnsi="Times New Roman"/>
                <w:sz w:val="21"/>
                <w:szCs w:val="21"/>
                <w:lang w:val="en-US" w:eastAsia="zh-CN"/>
              </w:rPr>
              <w:t>介绍，</w:t>
            </w:r>
            <w:r>
              <w:rPr>
                <w:rFonts w:hint="eastAsia" w:ascii="Times New Roman" w:hAnsi="Times New Roman"/>
                <w:sz w:val="21"/>
                <w:szCs w:val="21"/>
                <w:lang w:eastAsia="zh-CN"/>
              </w:rPr>
              <w:t>洛阳吉城商贸有限公司成立于2003年06月16日，注册地位于洛阳市西工区王城大道221号4幢1-2503，法定代表人为胡南堂。经营范围包括电器设备、仪器仪表、机械设备及配件、电线电缆、水暖阀门、金属材料（不含贵金属）、五金工具、土杂产品、轴承、建筑材料、计算机及配件、办公用品、针纺织品、化工产品（不含易燃易爆易制毒危险化学品）、装饰材料、通讯设备、包装材料、日用百货、工艺礼品（不含文物）的销售；电器、仪表的维修；文化艺术咨询服务；会议及展览服务。</w:t>
            </w:r>
          </w:p>
          <w:p>
            <w:pPr>
              <w:pStyle w:val="14"/>
              <w:spacing w:line="240" w:lineRule="auto"/>
              <w:ind w:firstLine="420" w:firstLineChars="200"/>
              <w:rPr>
                <w:rFonts w:ascii="Times New Roman" w:hAnsi="Times New Roman"/>
                <w:sz w:val="21"/>
                <w:szCs w:val="21"/>
              </w:rPr>
            </w:pPr>
            <w:r>
              <w:rPr>
                <w:rFonts w:hint="eastAsia" w:ascii="Times New Roman" w:hAnsi="Times New Roman"/>
                <w:sz w:val="21"/>
                <w:szCs w:val="21"/>
              </w:rPr>
              <w:t>根据顾客要求、企业的经验和资源状况，以过程方法模式，识别公司的管理体系所需的过程。采用PDCA循环的管理方法。重点识别</w:t>
            </w:r>
            <w:r>
              <w:rPr>
                <w:rFonts w:hint="eastAsia" w:ascii="Times New Roman" w:hAnsi="Times New Roman"/>
                <w:sz w:val="21"/>
                <w:szCs w:val="21"/>
                <w:lang w:eastAsia="zh-CN"/>
              </w:rPr>
              <w:t>电器设备、仪器仪表、机械设备及 配件、电线电缆、水暖阀门、金属 材料（不含贵金属）、五金工具、 土杂产品、轴承、建筑材料、计算 机及配件、办公用品、针纺织品、 化工产品（不含易燃易爆易制毒危 险化学品）、装饰材料、通讯设 备、包装材料、日用百货、工艺礼 品（不含文物）的销售</w:t>
            </w:r>
            <w:r>
              <w:rPr>
                <w:rFonts w:hint="eastAsia" w:ascii="Times New Roman" w:hAnsi="Times New Roman"/>
                <w:sz w:val="21"/>
                <w:szCs w:val="21"/>
              </w:rPr>
              <w:t>及相关环境</w:t>
            </w:r>
            <w:r>
              <w:rPr>
                <w:rFonts w:hint="eastAsia" w:ascii="Times New Roman" w:hAnsi="Times New Roman"/>
                <w:sz w:val="21"/>
                <w:szCs w:val="21"/>
                <w:lang w:eastAsia="zh-CN"/>
              </w:rPr>
              <w:t>、</w:t>
            </w:r>
            <w:r>
              <w:rPr>
                <w:rFonts w:hint="eastAsia" w:ascii="Times New Roman" w:hAnsi="Times New Roman"/>
                <w:sz w:val="21"/>
                <w:szCs w:val="21"/>
                <w:lang w:val="en-US" w:eastAsia="zh-CN"/>
              </w:rPr>
              <w:t>职业健康安全</w:t>
            </w:r>
            <w:r>
              <w:rPr>
                <w:rFonts w:hint="eastAsia" w:ascii="Times New Roman" w:hAnsi="Times New Roman"/>
                <w:sz w:val="21"/>
                <w:szCs w:val="21"/>
              </w:rPr>
              <w:t>管理活动实现过程、关键过程及其相互作用。通过把管理的过程方法原则和系统方法原理相结合，实现企业的全面管理。</w:t>
            </w:r>
          </w:p>
          <w:p>
            <w:pPr>
              <w:pStyle w:val="14"/>
              <w:spacing w:line="240" w:lineRule="auto"/>
              <w:ind w:firstLine="420" w:firstLineChars="200"/>
              <w:rPr>
                <w:rFonts w:hint="eastAsia" w:ascii="Times New Roman" w:hAnsi="Times New Roman"/>
                <w:sz w:val="21"/>
                <w:szCs w:val="21"/>
              </w:rPr>
            </w:pPr>
          </w:p>
          <w:p>
            <w:pPr>
              <w:pStyle w:val="14"/>
              <w:spacing w:line="240" w:lineRule="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---以顾客为关注焦点，对影响</w:t>
            </w:r>
            <w:r>
              <w:rPr>
                <w:rFonts w:hint="eastAsia"/>
                <w:sz w:val="21"/>
                <w:szCs w:val="21"/>
              </w:rPr>
              <w:t>公司</w:t>
            </w:r>
            <w:r>
              <w:rPr>
                <w:rFonts w:hint="eastAsia"/>
                <w:sz w:val="21"/>
                <w:szCs w:val="21"/>
                <w:lang w:val="en-US" w:eastAsia="zh-CN"/>
              </w:rPr>
              <w:t>管理体系预期结果的相关方进行了全面的识别和评价，</w:t>
            </w:r>
            <w:r>
              <w:rPr>
                <w:rFonts w:hint="eastAsia"/>
                <w:sz w:val="21"/>
                <w:szCs w:val="21"/>
              </w:rPr>
              <w:t>策划了</w:t>
            </w:r>
            <w:r>
              <w:rPr>
                <w:rFonts w:hint="eastAsia"/>
                <w:sz w:val="21"/>
                <w:szCs w:val="21"/>
                <w:lang w:eastAsia="zh-CN"/>
              </w:rPr>
              <w:t>“</w:t>
            </w:r>
            <w:r>
              <w:rPr>
                <w:rFonts w:hint="eastAsia"/>
                <w:sz w:val="21"/>
                <w:szCs w:val="21"/>
              </w:rPr>
              <w:t>风险和机遇的应对控制程序</w:t>
            </w:r>
            <w:r>
              <w:rPr>
                <w:rFonts w:hint="eastAsia"/>
                <w:sz w:val="21"/>
                <w:szCs w:val="21"/>
                <w:lang w:eastAsia="zh-CN"/>
              </w:rPr>
              <w:t>”、</w:t>
            </w:r>
            <w:r>
              <w:rPr>
                <w:rFonts w:hint="eastAsia"/>
                <w:sz w:val="21"/>
                <w:szCs w:val="21"/>
              </w:rPr>
              <w:t>“相关方管理程序”、</w:t>
            </w:r>
            <w:r>
              <w:rPr>
                <w:rFonts w:hint="eastAsia"/>
                <w:sz w:val="21"/>
                <w:szCs w:val="21"/>
                <w:lang w:eastAsia="zh-CN"/>
              </w:rPr>
              <w:t>“环境因素识别与评价控制程序”、“危险源识别风险评价控制程序”、</w:t>
            </w:r>
            <w:r>
              <w:rPr>
                <w:rFonts w:hint="eastAsia"/>
                <w:sz w:val="21"/>
                <w:szCs w:val="21"/>
              </w:rPr>
              <w:t>“法律法规和其他要求控制程序”、“合规性评价程序”、“满意度调查表”</w:t>
            </w:r>
            <w:r>
              <w:rPr>
                <w:rFonts w:hint="eastAsia"/>
                <w:sz w:val="21"/>
                <w:szCs w:val="21"/>
                <w:lang w:val="en-US" w:eastAsia="zh-CN"/>
              </w:rPr>
              <w:t>等</w:t>
            </w:r>
            <w:r>
              <w:rPr>
                <w:rFonts w:hint="eastAsia"/>
                <w:sz w:val="21"/>
                <w:szCs w:val="21"/>
              </w:rPr>
              <w:t>。</w:t>
            </w:r>
          </w:p>
          <w:p>
            <w:pPr>
              <w:pStyle w:val="14"/>
              <w:spacing w:line="240" w:lineRule="auto"/>
              <w:ind w:firstLine="420" w:firstLineChars="200"/>
              <w:rPr>
                <w:rFonts w:hint="default" w:ascii="Times New Roman" w:hAnsi="Times New Roman"/>
                <w:sz w:val="21"/>
                <w:szCs w:val="21"/>
                <w:lang w:val="en-US" w:eastAsia="zh-CN"/>
              </w:rPr>
            </w:pPr>
            <w:r>
              <w:rPr>
                <w:rFonts w:hint="eastAsia" w:ascii="Times New Roman" w:hAnsi="Times New Roman"/>
                <w:sz w:val="21"/>
                <w:szCs w:val="21"/>
                <w:lang w:val="en-US" w:eastAsia="zh-CN"/>
              </w:rPr>
              <w:t>出示有“组织的内外重要环境因素分析表”、“组织的相关方需求和期望调查表”及“ 风险和机遇评估分析表”，基于风险的思维对可能导致对过程和预期结果产生影响的公司内外部的因素、风险和机遇及与管理体系有关的相关方的信息进行了监视与评审。</w:t>
            </w:r>
          </w:p>
          <w:p>
            <w:pPr>
              <w:pStyle w:val="14"/>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---核查“环境职业健康安全管理体系风险和机遇评估分析表”，按活动过程对风险因素进行了分析。 审批/日期：2022.6.9.；抽查：</w:t>
            </w:r>
          </w:p>
          <w:p>
            <w:pPr>
              <w:rPr>
                <w:rFonts w:hint="eastAsia"/>
                <w:sz w:val="24"/>
                <w:szCs w:val="24"/>
                <w:lang w:eastAsia="zh-CN"/>
              </w:rPr>
            </w:pPr>
            <w:r>
              <w:rPr>
                <w:rFonts w:hint="eastAsia"/>
                <w:sz w:val="24"/>
                <w:szCs w:val="24"/>
              </w:rPr>
              <w:t xml:space="preserve">法律法规及其它要求管理 </w:t>
            </w:r>
            <w:r>
              <w:rPr>
                <w:rFonts w:hint="eastAsia"/>
                <w:sz w:val="24"/>
                <w:szCs w:val="24"/>
                <w:lang w:eastAsia="zh-CN"/>
              </w:rPr>
              <w:t>：</w:t>
            </w:r>
          </w:p>
          <w:tbl>
            <w:tblPr>
              <w:tblStyle w:val="8"/>
              <w:tblW w:w="378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1.法律法规及其它要求识别不及时、缺失、不适用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2.适用的法律法规及其它要求未被相关部门传递和了解</w:t>
                  </w:r>
                </w:p>
              </w:tc>
            </w:tr>
          </w:tbl>
          <w:p>
            <w:pPr>
              <w:pStyle w:val="14"/>
              <w:spacing w:line="240" w:lineRule="auto"/>
              <w:rPr>
                <w:rFonts w:hint="eastAsia"/>
                <w:sz w:val="24"/>
                <w:szCs w:val="24"/>
                <w:lang w:eastAsia="zh-CN"/>
              </w:rPr>
            </w:pPr>
            <w:r>
              <w:rPr>
                <w:rFonts w:hint="eastAsia"/>
                <w:sz w:val="24"/>
                <w:szCs w:val="24"/>
              </w:rPr>
              <w:t>管理措施</w:t>
            </w:r>
            <w:r>
              <w:rPr>
                <w:rFonts w:hint="eastAsia"/>
                <w:sz w:val="24"/>
                <w:szCs w:val="24"/>
                <w:lang w:eastAsia="zh-CN"/>
              </w:rPr>
              <w:t>：</w:t>
            </w:r>
          </w:p>
          <w:tbl>
            <w:tblPr>
              <w:tblStyle w:val="8"/>
              <w:tblW w:w="357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法律法规法律法规及其它要求识别评价在程序中做出规定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3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法律法规及其它要求培训列入年度培训计划</w:t>
                  </w:r>
                </w:p>
              </w:tc>
            </w:tr>
          </w:tbl>
          <w:p>
            <w:pPr>
              <w:pStyle w:val="14"/>
              <w:spacing w:line="240" w:lineRule="auto"/>
              <w:rPr>
                <w:rFonts w:hint="eastAsia"/>
                <w:sz w:val="24"/>
                <w:szCs w:val="24"/>
                <w:lang w:val="en-US" w:eastAsia="zh-CN"/>
              </w:rPr>
            </w:pPr>
          </w:p>
          <w:p>
            <w:pPr>
              <w:rPr>
                <w:rFonts w:hint="default"/>
                <w:lang w:val="en-US" w:eastAsia="zh-CN"/>
              </w:rPr>
            </w:pPr>
            <w:r>
              <w:rPr>
                <w:rFonts w:hint="eastAsia"/>
                <w:sz w:val="21"/>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eastAsia" w:ascii="宋体"/>
                <w:sz w:val="21"/>
                <w:szCs w:val="21"/>
              </w:rPr>
            </w:pPr>
            <w:r>
              <w:rPr>
                <w:rFonts w:hint="eastAsia" w:ascii="宋体"/>
                <w:sz w:val="21"/>
                <w:szCs w:val="21"/>
              </w:rPr>
              <w:t>管理体系范围确定的适宜性和充分性</w:t>
            </w:r>
          </w:p>
          <w:p>
            <w:pPr>
              <w:spacing w:line="240" w:lineRule="auto"/>
              <w:rPr>
                <w:rFonts w:hint="eastAsia" w:ascii="宋体"/>
                <w:sz w:val="21"/>
                <w:szCs w:val="21"/>
              </w:rPr>
            </w:pPr>
            <w:r>
              <w:rPr>
                <w:rFonts w:hint="eastAsia" w:ascii="宋体"/>
                <w:sz w:val="21"/>
                <w:szCs w:val="21"/>
              </w:rPr>
              <w:t>管理体系策划、建立</w:t>
            </w:r>
          </w:p>
          <w:p/>
        </w:tc>
        <w:tc>
          <w:tcPr>
            <w:tcW w:w="960" w:type="dxa"/>
          </w:tcPr>
          <w:p>
            <w:pPr>
              <w:spacing w:line="240" w:lineRule="auto"/>
              <w:rPr>
                <w:rFonts w:hint="eastAsia"/>
                <w:lang w:val="en-US" w:eastAsia="zh-CN"/>
              </w:rPr>
            </w:pPr>
            <w:r>
              <w:rPr>
                <w:rFonts w:hint="eastAsia"/>
                <w:lang w:val="en-US" w:eastAsia="zh-CN"/>
              </w:rPr>
              <w:t>ES4.3/4.4;</w:t>
            </w:r>
          </w:p>
          <w:p/>
        </w:tc>
        <w:tc>
          <w:tcPr>
            <w:tcW w:w="10004" w:type="dxa"/>
          </w:tcPr>
          <w:p>
            <w:pPr>
              <w:numPr>
                <w:ilvl w:val="0"/>
                <w:numId w:val="0"/>
              </w:numPr>
              <w:spacing w:line="440" w:lineRule="exact"/>
              <w:rPr>
                <w:rFonts w:hint="eastAsia" w:ascii="宋体" w:hAnsi="宋体"/>
                <w:sz w:val="24"/>
              </w:rPr>
            </w:pPr>
            <w:r>
              <w:rPr>
                <w:rFonts w:hint="eastAsia"/>
                <w:lang w:val="en-US" w:eastAsia="zh-CN"/>
              </w:rPr>
              <w:t>---查管理手册3.1.2：</w:t>
            </w:r>
          </w:p>
          <w:p>
            <w:pPr>
              <w:numPr>
                <w:ilvl w:val="0"/>
                <w:numId w:val="1"/>
              </w:numPr>
              <w:spacing w:line="440" w:lineRule="exact"/>
              <w:rPr>
                <w:rFonts w:hint="eastAsia" w:ascii="宋体" w:hAnsi="宋体"/>
                <w:sz w:val="21"/>
                <w:szCs w:val="21"/>
              </w:rPr>
            </w:pPr>
            <w:r>
              <w:rPr>
                <w:rFonts w:hint="eastAsia" w:ascii="宋体" w:hAnsi="宋体"/>
                <w:sz w:val="21"/>
                <w:szCs w:val="21"/>
              </w:rPr>
              <w:t>环境管理体系覆盖范围：</w:t>
            </w:r>
            <w:r>
              <w:rPr>
                <w:rFonts w:hint="eastAsia"/>
                <w:sz w:val="21"/>
                <w:szCs w:val="21"/>
              </w:rPr>
              <w:t>电器设备、仪器仪表、机械设备及配件、电线电缆、水暖阀门、金属材料（不含贵金属）、五金工具、土杂产品、轴承、建筑材料、计算机及配件、办公用品、针纺织品、化工产品（不含易燃易爆易制毒危险化学品）、装饰材料、通讯设备、包装材料、日用百货、工艺礼品（不含文物）的销售</w:t>
            </w:r>
            <w:r>
              <w:rPr>
                <w:rFonts w:hint="eastAsia" w:ascii="宋体" w:hAnsi="宋体"/>
                <w:sz w:val="21"/>
                <w:szCs w:val="21"/>
              </w:rPr>
              <w:t>所涉及场所的相关环境管理活动；</w:t>
            </w:r>
          </w:p>
          <w:p>
            <w:pPr>
              <w:numPr>
                <w:ilvl w:val="0"/>
                <w:numId w:val="1"/>
              </w:numPr>
              <w:spacing w:line="440" w:lineRule="exact"/>
              <w:rPr>
                <w:rFonts w:hint="eastAsia" w:ascii="宋体" w:hAnsi="宋体"/>
                <w:sz w:val="21"/>
                <w:szCs w:val="21"/>
              </w:rPr>
            </w:pPr>
            <w:r>
              <w:rPr>
                <w:rFonts w:hint="eastAsia" w:ascii="宋体" w:hAnsi="宋体"/>
                <w:sz w:val="21"/>
                <w:szCs w:val="21"/>
              </w:rPr>
              <w:t>职业健康安全管理体系覆盖范围：电器设备、仪器仪表、机械设备及配件、电线电缆、水暖阀门、金属材料（不含贵金属）、五金工具、土杂产品、轴承、建筑材料、计算机及配件、办公用品、针纺织品、化工产品（不含易燃易爆易制毒危险化学品）、装饰材料、通讯设备、包装材料、日用百货、工艺礼品（不含文物）的销售所涉及场所的相关职业健康安全管理活动。</w:t>
            </w:r>
          </w:p>
          <w:p>
            <w:pPr>
              <w:rPr>
                <w:rFonts w:hint="eastAsia"/>
                <w:sz w:val="21"/>
                <w:szCs w:val="21"/>
                <w:lang w:val="en-US" w:eastAsia="zh-CN"/>
              </w:rPr>
            </w:pPr>
            <w:r>
              <w:rPr>
                <w:rFonts w:hint="eastAsia"/>
                <w:sz w:val="21"/>
                <w:szCs w:val="21"/>
                <w:lang w:val="en-US" w:eastAsia="zh-CN"/>
              </w:rPr>
              <w:t>即：</w:t>
            </w:r>
          </w:p>
          <w:p>
            <w:pPr>
              <w:rPr>
                <w:sz w:val="20"/>
              </w:rPr>
            </w:pPr>
            <w:bookmarkStart w:id="1" w:name="审核范围"/>
            <w:r>
              <w:rPr>
                <w:sz w:val="20"/>
              </w:rPr>
              <w:t>E：电器设备、仪器仪表、机械设备及 配件、电线电缆、水暖阀门、金属 材料（不含贵金属）、五金工具、 土杂产品、轴承、建筑材料、计算机及配件、办公用品、针纺织品、 化工产品（不含易燃易爆易制毒危险化学品）、装饰材料、通讯设备、包装材料、日用百货、工艺礼 品（不含文物）的销售所涉及场所相关的环境管理活动</w:t>
            </w:r>
          </w:p>
          <w:p>
            <w:pPr>
              <w:pStyle w:val="2"/>
              <w:rPr>
                <w:rFonts w:hint="eastAsia"/>
                <w:lang w:val="en-US" w:eastAsia="zh-CN"/>
              </w:rPr>
            </w:pPr>
            <w:r>
              <w:rPr>
                <w:sz w:val="20"/>
              </w:rPr>
              <w:t>O：电器设备、仪器仪表、机械设备及 配件、电线电缆、水暖阀门、金属 材料（不含贵金属）、五金工具、 土杂产品、轴承、建筑材料、计算 机及配件、办公用品、针纺织品、 化工产品（不含易燃易爆易制毒危 险化学品）、装饰材料、通讯设 备、包装材料、日用百货、工艺礼 品（不含文物）的销售所涉及场所相关的职业健康安全管理活动</w:t>
            </w:r>
            <w:bookmarkEnd w:id="1"/>
          </w:p>
          <w:p>
            <w:pPr>
              <w:pStyle w:val="14"/>
              <w:spacing w:line="24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物理边界：</w:t>
            </w:r>
          </w:p>
          <w:p>
            <w:pPr>
              <w:pStyle w:val="14"/>
              <w:spacing w:line="240" w:lineRule="auto"/>
              <w:rPr>
                <w:rFonts w:hint="eastAsia" w:ascii="Times New Roman" w:hAnsi="Times New Roman" w:cs="Times New Roman" w:eastAsiaTheme="minorEastAsia"/>
                <w:sz w:val="21"/>
                <w:szCs w:val="21"/>
                <w:lang w:val="en-US" w:eastAsia="zh-CN"/>
              </w:rPr>
            </w:pPr>
            <w:r>
              <w:rPr>
                <w:rFonts w:hint="eastAsia" w:ascii="Times New Roman" w:hAnsi="Times New Roman" w:eastAsia="宋体" w:cs="Times New Roman"/>
                <w:sz w:val="21"/>
                <w:szCs w:val="21"/>
                <w:lang w:val="en-US" w:eastAsia="zh-CN"/>
              </w:rPr>
              <w:t>注册地址：</w:t>
            </w:r>
            <w:bookmarkStart w:id="2" w:name="注册地址"/>
            <w:r>
              <w:rPr>
                <w:rFonts w:asciiTheme="minorEastAsia" w:hAnsiTheme="minorEastAsia" w:eastAsiaTheme="minorEastAsia"/>
                <w:sz w:val="20"/>
              </w:rPr>
              <w:t>洛阳市西工区王城大道221号4幢1-2503</w:t>
            </w:r>
            <w:bookmarkEnd w:id="2"/>
            <w:r>
              <w:rPr>
                <w:rFonts w:hint="eastAsia" w:asciiTheme="minorEastAsia" w:hAnsiTheme="minorEastAsia" w:eastAsiaTheme="minorEastAsia"/>
                <w:sz w:val="21"/>
                <w:szCs w:val="21"/>
                <w:lang w:eastAsia="zh-CN"/>
              </w:rPr>
              <w:t>；</w:t>
            </w:r>
          </w:p>
          <w:p>
            <w:pPr>
              <w:pStyle w:val="14"/>
              <w:spacing w:line="24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办公地址：</w:t>
            </w:r>
            <w:bookmarkStart w:id="3" w:name="生产地址"/>
            <w:r>
              <w:rPr>
                <w:rFonts w:asciiTheme="minorEastAsia" w:hAnsiTheme="minorEastAsia" w:eastAsiaTheme="minorEastAsia"/>
                <w:sz w:val="20"/>
              </w:rPr>
              <w:t>洛阳市孟津区吉利区文化路六号</w:t>
            </w:r>
            <w:bookmarkEnd w:id="3"/>
            <w:r>
              <w:rPr>
                <w:rFonts w:hint="eastAsia" w:ascii="Times New Roman" w:hAnsi="Times New Roman" w:cs="Times New Roman"/>
                <w:sz w:val="21"/>
                <w:szCs w:val="21"/>
                <w:lang w:val="en-US" w:eastAsia="zh-CN"/>
              </w:rPr>
              <w:t>；</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经识别的外包过程：</w:t>
            </w:r>
            <w:r>
              <w:rPr>
                <w:rFonts w:hint="eastAsia" w:cs="Times New Roman"/>
                <w:sz w:val="21"/>
                <w:szCs w:val="21"/>
                <w:lang w:val="en-US" w:eastAsia="zh-CN"/>
              </w:rPr>
              <w:t>负责人表述，</w:t>
            </w:r>
            <w:r>
              <w:rPr>
                <w:rFonts w:hint="eastAsia" w:ascii="宋体" w:hAnsi="宋体" w:cs="宋体"/>
                <w:kern w:val="0"/>
                <w:sz w:val="21"/>
                <w:szCs w:val="21"/>
              </w:rPr>
              <w:t>公司暂无外包过程发生</w:t>
            </w:r>
            <w:r>
              <w:rPr>
                <w:rFonts w:hint="eastAsia" w:ascii="宋体" w:hAnsi="宋体" w:cs="宋体"/>
                <w:sz w:val="21"/>
                <w:szCs w:val="21"/>
              </w:rPr>
              <w:t>。</w:t>
            </w:r>
          </w:p>
          <w:p>
            <w:pPr>
              <w:pStyle w:val="14"/>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查组</w:t>
            </w:r>
            <w:r>
              <w:rPr>
                <w:rFonts w:hint="eastAsia" w:ascii="Times New Roman" w:hAnsi="Times New Roman" w:eastAsia="宋体" w:cs="Times New Roman"/>
                <w:kern w:val="2"/>
                <w:sz w:val="21"/>
                <w:szCs w:val="21"/>
                <w:lang w:val="en-US" w:eastAsia="zh-CN" w:bidi="ar-SA"/>
              </w:rPr>
              <w:t>织机构图：覆盖的部门为总经理领导下的综合部、</w:t>
            </w:r>
            <w:r>
              <w:rPr>
                <w:rFonts w:hint="eastAsia" w:ascii="Times New Roman" w:hAnsi="Times New Roman" w:cs="Times New Roman"/>
                <w:kern w:val="2"/>
                <w:sz w:val="21"/>
                <w:szCs w:val="21"/>
                <w:lang w:val="en-US" w:eastAsia="zh-CN" w:bidi="ar-SA"/>
              </w:rPr>
              <w:t>营销</w:t>
            </w:r>
            <w:r>
              <w:rPr>
                <w:rFonts w:hint="eastAsia" w:ascii="Times New Roman" w:hAnsi="Times New Roman" w:eastAsia="宋体" w:cs="Times New Roman"/>
                <w:kern w:val="2"/>
                <w:sz w:val="21"/>
                <w:szCs w:val="21"/>
                <w:lang w:val="en-US" w:eastAsia="zh-CN" w:bidi="ar-SA"/>
              </w:rPr>
              <w:t>部组成</w:t>
            </w:r>
            <w:r>
              <w:rPr>
                <w:rFonts w:hint="eastAsia" w:ascii="Times New Roman" w:hAnsi="Times New Roman" w:eastAsia="宋体" w:cs="Times New Roman"/>
                <w:sz w:val="21"/>
                <w:szCs w:val="21"/>
                <w:lang w:val="en-US" w:eastAsia="zh-CN"/>
              </w:rPr>
              <w:t>。</w:t>
            </w:r>
          </w:p>
          <w:p>
            <w:pPr>
              <w:pStyle w:val="14"/>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——针对上述范围再一次与</w:t>
            </w:r>
            <w:r>
              <w:rPr>
                <w:rFonts w:hint="eastAsia" w:ascii="Times New Roman" w:hAnsi="Times New Roman" w:cs="Times New Roman"/>
                <w:sz w:val="21"/>
                <w:szCs w:val="21"/>
                <w:lang w:val="en-US" w:eastAsia="zh-CN"/>
              </w:rPr>
              <w:t>管代</w:t>
            </w:r>
            <w:r>
              <w:rPr>
                <w:rFonts w:hint="eastAsia" w:ascii="Times New Roman" w:hAnsi="Times New Roman" w:eastAsia="宋体" w:cs="Times New Roman"/>
                <w:sz w:val="21"/>
                <w:szCs w:val="21"/>
                <w:lang w:val="en-US" w:eastAsia="zh-CN"/>
              </w:rPr>
              <w:t>进行了确认。</w:t>
            </w:r>
          </w:p>
          <w:p>
            <w:pPr>
              <w:pStyle w:val="14"/>
              <w:spacing w:line="240" w:lineRule="auto"/>
              <w:rPr>
                <w:rFonts w:hint="eastAsia" w:ascii="Times New Roman" w:hAnsi="Times New Roman" w:eastAsia="宋体" w:cs="Times New Roman"/>
                <w:sz w:val="21"/>
                <w:szCs w:val="21"/>
                <w:lang w:val="en-US" w:eastAsia="zh-CN"/>
              </w:rPr>
            </w:pPr>
          </w:p>
          <w:p>
            <w:pPr>
              <w:spacing w:line="240" w:lineRule="auto"/>
              <w:jc w:val="left"/>
              <w:rPr>
                <w:sz w:val="21"/>
                <w:szCs w:val="21"/>
              </w:rPr>
            </w:pPr>
            <w:r>
              <w:rPr>
                <w:rFonts w:hint="eastAsia"/>
                <w:sz w:val="21"/>
                <w:szCs w:val="21"/>
                <w:lang w:val="en-US" w:eastAsia="zh-CN"/>
              </w:rPr>
              <w:t>--</w:t>
            </w:r>
            <w:r>
              <w:rPr>
                <w:rFonts w:hint="eastAsia"/>
                <w:sz w:val="21"/>
                <w:szCs w:val="21"/>
              </w:rPr>
              <w:t>建立管理体系的目的：</w:t>
            </w:r>
          </w:p>
          <w:p>
            <w:pPr>
              <w:spacing w:line="240" w:lineRule="auto"/>
              <w:jc w:val="left"/>
              <w:rPr>
                <w:rFonts w:hint="eastAsia" w:eastAsia="宋体"/>
                <w:sz w:val="21"/>
                <w:szCs w:val="21"/>
                <w:lang w:eastAsia="zh-CN"/>
              </w:rPr>
            </w:pPr>
            <w:r>
              <w:rPr>
                <w:rFonts w:hint="eastAsia"/>
                <w:sz w:val="21"/>
                <w:szCs w:val="21"/>
              </w:rPr>
              <w:t>公司领导说明根据行业招投标要求建立管理体系，也是为了进一步规范企业的管理</w:t>
            </w:r>
            <w:r>
              <w:rPr>
                <w:rFonts w:hint="eastAsia"/>
                <w:sz w:val="21"/>
                <w:szCs w:val="21"/>
                <w:lang w:eastAsia="zh-CN"/>
              </w:rPr>
              <w:t>。</w:t>
            </w:r>
          </w:p>
          <w:p>
            <w:pPr>
              <w:pStyle w:val="14"/>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--建立了管理体系文件，包括：管理手册、程序文件</w:t>
            </w:r>
            <w:r>
              <w:rPr>
                <w:rFonts w:hint="eastAsia" w:ascii="Times New Roman" w:hAnsi="Times New Roman" w:cs="Times New Roman"/>
                <w:sz w:val="21"/>
                <w:szCs w:val="21"/>
                <w:lang w:val="en-US" w:eastAsia="zh-CN"/>
              </w:rPr>
              <w:t>汇编</w:t>
            </w:r>
            <w:r>
              <w:rPr>
                <w:rFonts w:hint="eastAsia" w:ascii="Times New Roman" w:hAnsi="Times New Roman" w:eastAsia="宋体" w:cs="Times New Roman"/>
                <w:sz w:val="21"/>
                <w:szCs w:val="21"/>
                <w:lang w:val="en-US" w:eastAsia="zh-CN"/>
              </w:rPr>
              <w:t>、管理制度汇编--等。</w:t>
            </w:r>
          </w:p>
          <w:p>
            <w:pPr>
              <w:pStyle w:val="14"/>
              <w:spacing w:line="240" w:lineRule="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在管理手册中包括ES整合的方针和目标、组织机构、职能分配表、各部门职责、流程图、管理体系要求等。</w:t>
            </w:r>
          </w:p>
          <w:p>
            <w:pPr>
              <w:pStyle w:val="14"/>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--主要</w:t>
            </w:r>
            <w:r>
              <w:rPr>
                <w:rFonts w:hint="eastAsia" w:ascii="Times New Roman" w:hAnsi="Times New Roman" w:cs="Times New Roman"/>
                <w:sz w:val="21"/>
                <w:szCs w:val="21"/>
                <w:lang w:val="en-US" w:eastAsia="zh-CN"/>
              </w:rPr>
              <w:t>业务</w:t>
            </w:r>
            <w:bookmarkStart w:id="4" w:name="_GoBack"/>
            <w:bookmarkEnd w:id="4"/>
            <w:r>
              <w:rPr>
                <w:rFonts w:hint="eastAsia" w:ascii="Times New Roman" w:hAnsi="Times New Roman" w:eastAsia="宋体" w:cs="Times New Roman"/>
                <w:sz w:val="21"/>
                <w:szCs w:val="21"/>
                <w:lang w:val="en-US" w:eastAsia="zh-CN"/>
              </w:rPr>
              <w:t>实现过程为：</w:t>
            </w:r>
          </w:p>
          <w:p>
            <w:pPr>
              <w:pStyle w:val="14"/>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业务洽谈-合同接收-合同评审-采购-验证-入库-交付</w:t>
            </w:r>
          </w:p>
          <w:p>
            <w:pPr>
              <w:pStyle w:val="14"/>
              <w:spacing w:line="24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外包过程：暂无</w:t>
            </w:r>
          </w:p>
          <w:p>
            <w:r>
              <w:rPr>
                <w:rFonts w:hint="eastAsia" w:ascii="Times New Roman" w:hAnsi="Times New Roman" w:eastAsia="宋体" w:cs="Times New Roman"/>
                <w:sz w:val="21"/>
                <w:szCs w:val="21"/>
                <w:lang w:val="en-US" w:eastAsia="zh-CN"/>
              </w:rPr>
              <w:t>——上述经本次</w:t>
            </w:r>
            <w:r>
              <w:rPr>
                <w:rFonts w:hint="eastAsia" w:ascii="Times New Roman" w:hAnsi="Times New Roman" w:cs="Times New Roman"/>
                <w:sz w:val="21"/>
                <w:szCs w:val="21"/>
                <w:lang w:val="en-US" w:eastAsia="zh-CN"/>
              </w:rPr>
              <w:t>远程</w:t>
            </w:r>
            <w:r>
              <w:rPr>
                <w:rFonts w:hint="eastAsia" w:ascii="Times New Roman" w:hAnsi="Times New Roman" w:eastAsia="宋体" w:cs="Times New Roman"/>
                <w:sz w:val="21"/>
                <w:szCs w:val="21"/>
                <w:lang w:val="en-US" w:eastAsia="zh-CN"/>
              </w:rPr>
              <w:t>审核确认有效</w:t>
            </w:r>
            <w:r>
              <w:rPr>
                <w:rFonts w:hint="eastAsia" w:ascii="Times New Roman" w:hAnsi="Times New Roman" w:cs="Times New Roman"/>
                <w:sz w:val="21"/>
                <w:szCs w:val="21"/>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rPr>
            </w:pPr>
            <w:r>
              <w:rPr>
                <w:rFonts w:hint="eastAsia"/>
              </w:rPr>
              <w:t>领导作用和承诺</w:t>
            </w:r>
          </w:p>
          <w:p>
            <w:pPr>
              <w:spacing w:line="240" w:lineRule="auto"/>
              <w:rPr>
                <w:rFonts w:hint="eastAsia"/>
              </w:rPr>
            </w:pPr>
            <w:r>
              <w:rPr>
                <w:rFonts w:hint="eastAsia"/>
              </w:rPr>
              <w:t>岗位、职责、责任和权限</w:t>
            </w:r>
          </w:p>
          <w:p/>
        </w:tc>
        <w:tc>
          <w:tcPr>
            <w:tcW w:w="960" w:type="dxa"/>
          </w:tcPr>
          <w:p>
            <w:pPr>
              <w:rPr>
                <w:rFonts w:hint="eastAsia"/>
                <w:lang w:val="en-US" w:eastAsia="zh-CN"/>
              </w:rPr>
            </w:pPr>
            <w:r>
              <w:rPr>
                <w:rFonts w:hint="eastAsia"/>
                <w:lang w:val="en-US" w:eastAsia="zh-CN"/>
              </w:rPr>
              <w:t>ES5.1/5.3</w:t>
            </w:r>
          </w:p>
          <w:p>
            <w:pPr>
              <w:rPr>
                <w:rFonts w:hint="default"/>
                <w:lang w:val="en-US"/>
              </w:rPr>
            </w:pPr>
            <w:r>
              <w:rPr>
                <w:rFonts w:hint="eastAsia"/>
                <w:lang w:val="en-US" w:eastAsia="zh-CN"/>
              </w:rPr>
              <w:t>S5.4</w:t>
            </w:r>
          </w:p>
        </w:tc>
        <w:tc>
          <w:tcPr>
            <w:tcW w:w="10004" w:type="dxa"/>
          </w:tcPr>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―查“质量/环境/职业健安全管理手册”中包括管理体系标准要求的领导作用和承诺内容</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查管理手册中包括管理者代表任命书，并规定了其职责，管代口述职责，正确</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查管理手册中包括员工代表任命书，并规定了其职责，员工代表口述职责，正确</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查管理手册中包括ＥＳ方针、目标、组织机构、职责等</w:t>
            </w:r>
            <w:r>
              <w:rPr>
                <w:rFonts w:hint="eastAsia" w:ascii="Times New Roman" w:hAnsi="Times New Roman" w:eastAsia="宋体" w:cs="Times New Roman"/>
                <w:sz w:val="21"/>
                <w:szCs w:val="21"/>
                <w:lang w:eastAsia="zh-CN"/>
              </w:rPr>
              <w:t>。</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---查顾客满意度统计及分析报告，调查与分析结果，实现预期。</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能够提供管理体系建立、运行的资源；实施内审、管理评审等。</w:t>
            </w:r>
          </w:p>
          <w:p>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rPr>
              <w:t>管理方针、目标</w:t>
            </w:r>
          </w:p>
        </w:tc>
        <w:tc>
          <w:tcPr>
            <w:tcW w:w="960" w:type="dxa"/>
          </w:tcPr>
          <w:p>
            <w:pPr>
              <w:rPr>
                <w:rFonts w:hint="eastAsia"/>
                <w:lang w:val="en-US" w:eastAsia="zh-CN"/>
              </w:rPr>
            </w:pPr>
            <w:r>
              <w:rPr>
                <w:rFonts w:hint="eastAsia"/>
                <w:lang w:val="en-US" w:eastAsia="zh-CN"/>
              </w:rPr>
              <w:t>ES5.2/6.2</w:t>
            </w:r>
          </w:p>
        </w:tc>
        <w:tc>
          <w:tcPr>
            <w:tcW w:w="10004" w:type="dxa"/>
          </w:tcPr>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在管理手册中建立公司的环境和职业健康安全管理方针和目标，基本适宜</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环境和职业健康安全方针：：</w:t>
            </w:r>
          </w:p>
          <w:p>
            <w:pPr>
              <w:jc w:val="center"/>
              <w:rPr>
                <w:rFonts w:hint="eastAsia"/>
                <w:b/>
                <w:sz w:val="30"/>
                <w:szCs w:val="28"/>
              </w:rPr>
            </w:pPr>
            <w:r>
              <w:rPr>
                <w:rFonts w:hint="eastAsia"/>
                <w:b/>
                <w:sz w:val="30"/>
                <w:szCs w:val="28"/>
              </w:rPr>
              <w:t xml:space="preserve"> </w:t>
            </w:r>
            <w:r>
              <w:rPr>
                <w:b/>
                <w:sz w:val="30"/>
                <w:szCs w:val="28"/>
              </w:rPr>
              <w:t xml:space="preserve">  </w:t>
            </w:r>
            <w:r>
              <w:rPr>
                <w:rFonts w:hint="eastAsia"/>
                <w:b/>
                <w:sz w:val="30"/>
                <w:szCs w:val="28"/>
              </w:rPr>
              <w:t>遵守环境法律法规，实现环境污染控制；</w:t>
            </w:r>
          </w:p>
          <w:p>
            <w:pPr>
              <w:jc w:val="center"/>
              <w:rPr>
                <w:rFonts w:hint="eastAsia"/>
                <w:b/>
                <w:sz w:val="30"/>
                <w:szCs w:val="28"/>
              </w:rPr>
            </w:pPr>
            <w:r>
              <w:rPr>
                <w:rFonts w:hint="eastAsia"/>
                <w:b/>
                <w:sz w:val="30"/>
                <w:szCs w:val="28"/>
              </w:rPr>
              <w:t>注重职业健康安全预防，创造和谐安全企业；</w:t>
            </w:r>
          </w:p>
          <w:p>
            <w:pPr>
              <w:spacing w:line="240" w:lineRule="auto"/>
              <w:jc w:val="left"/>
              <w:rPr>
                <w:rFonts w:hint="eastAsia" w:ascii="Times New Roman" w:hAnsi="Times New Roman" w:eastAsia="宋体" w:cs="Times New Roman"/>
                <w:sz w:val="21"/>
                <w:szCs w:val="21"/>
              </w:rPr>
            </w:pPr>
            <w:r>
              <w:rPr>
                <w:rFonts w:hint="eastAsia" w:cs="Times New Roman"/>
                <w:sz w:val="21"/>
                <w:szCs w:val="21"/>
                <w:lang w:val="en-US" w:eastAsia="zh-CN"/>
              </w:rPr>
              <w:t>——</w:t>
            </w:r>
            <w:r>
              <w:rPr>
                <w:rFonts w:hint="eastAsia" w:ascii="Times New Roman" w:hAnsi="Times New Roman" w:eastAsia="宋体" w:cs="Times New Roman"/>
                <w:sz w:val="21"/>
                <w:szCs w:val="21"/>
              </w:rPr>
              <w:t>ＥＳ方针与公司战略相适宜</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 xml:space="preserve"> </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管理目标</w:t>
            </w:r>
            <w:r>
              <w:rPr>
                <w:rFonts w:hint="eastAsia" w:ascii="Times New Roman" w:hAnsi="Times New Roman" w:eastAsia="宋体" w:cs="Times New Roman"/>
                <w:sz w:val="21"/>
                <w:szCs w:val="21"/>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228" w:type="dxa"/>
                  <w:noWrap w:val="0"/>
                  <w:vAlign w:val="top"/>
                </w:tcPr>
                <w:p>
                  <w:pPr>
                    <w:pStyle w:val="7"/>
                    <w:spacing w:before="60" w:after="60"/>
                    <w:ind w:firstLine="560"/>
                    <w:rPr>
                      <w:rFonts w:ascii="宋体" w:hAnsi="宋体" w:eastAsia="宋体" w:cs="Arial"/>
                      <w:color w:val="000000"/>
                      <w:kern w:val="2"/>
                      <w:sz w:val="28"/>
                      <w:szCs w:val="28"/>
                      <w:shd w:val="clear" w:color="auto" w:fill="FFFFFF"/>
                    </w:rPr>
                  </w:pPr>
                  <w:r>
                    <w:rPr>
                      <w:rFonts w:hint="eastAsia" w:ascii="宋体" w:hAnsi="宋体" w:eastAsia="宋体" w:cs="Arial"/>
                      <w:color w:val="000000"/>
                      <w:kern w:val="2"/>
                      <w:sz w:val="28"/>
                      <w:szCs w:val="28"/>
                      <w:shd w:val="clear" w:color="auto" w:fill="FFFFFF"/>
                    </w:rPr>
                    <w:t>3．固体废弃物有效处置率</w:t>
                  </w:r>
                  <w:r>
                    <w:rPr>
                      <w:rFonts w:ascii="宋体" w:hAnsi="宋体" w:eastAsia="宋体" w:cs="Arial"/>
                      <w:color w:val="000000"/>
                      <w:kern w:val="2"/>
                      <w:sz w:val="28"/>
                      <w:szCs w:val="28"/>
                      <w:shd w:val="clear" w:color="auto" w:fill="FFFFFF"/>
                    </w:rPr>
                    <w:t>100%</w:t>
                  </w:r>
                </w:p>
              </w:tc>
              <w:tc>
                <w:tcPr>
                  <w:tcW w:w="3060" w:type="dxa"/>
                  <w:noWrap w:val="0"/>
                  <w:vAlign w:val="top"/>
                </w:tcPr>
                <w:p>
                  <w:pPr>
                    <w:pStyle w:val="7"/>
                    <w:spacing w:before="60" w:after="60"/>
                    <w:ind w:firstLine="560"/>
                    <w:rPr>
                      <w:rFonts w:hint="eastAsia" w:ascii="宋体" w:hAnsi="宋体" w:eastAsia="宋体" w:cs="Arial"/>
                      <w:color w:val="000000"/>
                      <w:kern w:val="2"/>
                      <w:sz w:val="28"/>
                      <w:szCs w:val="28"/>
                      <w:shd w:val="clear" w:color="auto" w:fill="FFFFFF"/>
                    </w:rPr>
                  </w:pPr>
                  <w:r>
                    <w:rPr>
                      <w:rFonts w:hint="eastAsia" w:ascii="宋体" w:hAnsi="宋体" w:eastAsia="宋体" w:cs="Arial"/>
                      <w:color w:val="000000"/>
                      <w:kern w:val="2"/>
                      <w:sz w:val="28"/>
                      <w:szCs w:val="28"/>
                      <w:shd w:val="clear" w:color="auto" w:fill="FFFFFF"/>
                    </w:rPr>
                    <w:t>每半年统计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228" w:type="dxa"/>
                  <w:noWrap w:val="0"/>
                  <w:vAlign w:val="top"/>
                </w:tcPr>
                <w:p>
                  <w:pPr>
                    <w:pStyle w:val="7"/>
                    <w:spacing w:before="60" w:after="60"/>
                    <w:ind w:firstLine="560"/>
                    <w:rPr>
                      <w:rFonts w:ascii="宋体" w:hAnsi="宋体" w:eastAsia="宋体" w:cs="Arial"/>
                      <w:color w:val="000000"/>
                      <w:kern w:val="2"/>
                      <w:sz w:val="28"/>
                      <w:szCs w:val="28"/>
                      <w:shd w:val="clear" w:color="auto" w:fill="FFFFFF"/>
                    </w:rPr>
                  </w:pPr>
                  <w:r>
                    <w:rPr>
                      <w:rFonts w:hint="eastAsia" w:ascii="宋体" w:hAnsi="宋体" w:eastAsia="宋体" w:cs="Arial"/>
                      <w:color w:val="000000"/>
                      <w:kern w:val="2"/>
                      <w:sz w:val="28"/>
                      <w:szCs w:val="28"/>
                      <w:shd w:val="clear" w:color="auto" w:fill="FFFFFF"/>
                    </w:rPr>
                    <w:t>4．无火灾事故发生；</w:t>
                  </w:r>
                </w:p>
              </w:tc>
              <w:tc>
                <w:tcPr>
                  <w:tcW w:w="3060" w:type="dxa"/>
                  <w:noWrap w:val="0"/>
                  <w:vAlign w:val="top"/>
                </w:tcPr>
                <w:p>
                  <w:pPr>
                    <w:pStyle w:val="7"/>
                    <w:spacing w:before="60" w:after="60"/>
                    <w:ind w:firstLine="560"/>
                    <w:rPr>
                      <w:rFonts w:hint="eastAsia" w:ascii="宋体" w:hAnsi="宋体" w:eastAsia="宋体" w:cs="Arial"/>
                      <w:color w:val="000000"/>
                      <w:kern w:val="2"/>
                      <w:sz w:val="28"/>
                      <w:szCs w:val="28"/>
                      <w:shd w:val="clear" w:color="auto" w:fill="FFFFFF"/>
                    </w:rPr>
                  </w:pPr>
                  <w:r>
                    <w:rPr>
                      <w:rFonts w:hint="eastAsia" w:ascii="宋体" w:hAnsi="宋体" w:eastAsia="宋体" w:cs="Arial"/>
                      <w:color w:val="000000"/>
                      <w:kern w:val="2"/>
                      <w:sz w:val="28"/>
                      <w:szCs w:val="28"/>
                      <w:shd w:val="clear" w:color="auto" w:fill="FFFFFF"/>
                    </w:rPr>
                    <w:t>每半年统计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noWrap w:val="0"/>
                  <w:vAlign w:val="top"/>
                </w:tcPr>
                <w:p>
                  <w:pPr>
                    <w:pStyle w:val="7"/>
                    <w:spacing w:before="60" w:after="60"/>
                    <w:ind w:firstLine="560"/>
                    <w:rPr>
                      <w:rFonts w:ascii="宋体" w:hAnsi="宋体" w:eastAsia="宋体" w:cs="Arial"/>
                      <w:color w:val="000000"/>
                      <w:kern w:val="2"/>
                      <w:sz w:val="28"/>
                      <w:szCs w:val="28"/>
                      <w:shd w:val="clear" w:color="auto" w:fill="FFFFFF"/>
                    </w:rPr>
                  </w:pPr>
                  <w:r>
                    <w:rPr>
                      <w:rFonts w:hint="eastAsia" w:ascii="宋体" w:hAnsi="宋体" w:eastAsia="宋体" w:cs="Arial"/>
                      <w:color w:val="000000"/>
                      <w:kern w:val="2"/>
                      <w:sz w:val="28"/>
                      <w:szCs w:val="28"/>
                      <w:shd w:val="clear" w:color="auto" w:fill="FFFFFF"/>
                    </w:rPr>
                    <w:t>5．无触电事故发生；</w:t>
                  </w:r>
                </w:p>
              </w:tc>
              <w:tc>
                <w:tcPr>
                  <w:tcW w:w="3060" w:type="dxa"/>
                  <w:noWrap w:val="0"/>
                  <w:vAlign w:val="top"/>
                </w:tcPr>
                <w:p>
                  <w:pPr>
                    <w:pStyle w:val="7"/>
                    <w:spacing w:before="60" w:after="60"/>
                    <w:ind w:firstLine="560"/>
                    <w:rPr>
                      <w:rFonts w:hint="eastAsia" w:ascii="宋体" w:hAnsi="宋体" w:eastAsia="宋体" w:cs="Arial"/>
                      <w:color w:val="000000"/>
                      <w:kern w:val="2"/>
                      <w:sz w:val="28"/>
                      <w:szCs w:val="28"/>
                      <w:shd w:val="clear" w:color="auto" w:fill="FFFFFF"/>
                    </w:rPr>
                  </w:pPr>
                  <w:r>
                    <w:rPr>
                      <w:rFonts w:hint="eastAsia" w:ascii="宋体" w:hAnsi="宋体" w:eastAsia="宋体" w:cs="Arial"/>
                      <w:color w:val="000000"/>
                      <w:kern w:val="2"/>
                      <w:sz w:val="28"/>
                      <w:szCs w:val="28"/>
                      <w:shd w:val="clear" w:color="auto" w:fill="FFFFFF"/>
                    </w:rPr>
                    <w:t>每半年统计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noWrap w:val="0"/>
                  <w:vAlign w:val="top"/>
                </w:tcPr>
                <w:p>
                  <w:pPr>
                    <w:pStyle w:val="7"/>
                    <w:spacing w:before="60" w:after="60"/>
                    <w:ind w:firstLine="560"/>
                    <w:rPr>
                      <w:rFonts w:ascii="宋体" w:hAnsi="宋体" w:eastAsia="宋体" w:cs="Arial"/>
                      <w:color w:val="000000"/>
                      <w:kern w:val="2"/>
                      <w:sz w:val="28"/>
                      <w:szCs w:val="28"/>
                      <w:shd w:val="clear" w:color="auto" w:fill="FFFFFF"/>
                    </w:rPr>
                  </w:pPr>
                  <w:r>
                    <w:rPr>
                      <w:rFonts w:hint="eastAsia" w:ascii="宋体" w:hAnsi="宋体" w:eastAsia="宋体" w:cs="Arial"/>
                      <w:color w:val="000000"/>
                      <w:kern w:val="2"/>
                      <w:sz w:val="28"/>
                      <w:szCs w:val="28"/>
                      <w:shd w:val="clear" w:color="auto" w:fill="FFFFFF"/>
                    </w:rPr>
                    <w:t>6．无人身伤害事故发生；</w:t>
                  </w:r>
                </w:p>
              </w:tc>
              <w:tc>
                <w:tcPr>
                  <w:tcW w:w="3060" w:type="dxa"/>
                  <w:noWrap w:val="0"/>
                  <w:vAlign w:val="top"/>
                </w:tcPr>
                <w:p>
                  <w:pPr>
                    <w:pStyle w:val="7"/>
                    <w:spacing w:before="60" w:after="60"/>
                    <w:ind w:firstLine="560"/>
                    <w:rPr>
                      <w:rFonts w:hint="eastAsia" w:ascii="宋体" w:hAnsi="宋体" w:eastAsia="宋体" w:cs="Arial"/>
                      <w:color w:val="000000"/>
                      <w:kern w:val="2"/>
                      <w:sz w:val="28"/>
                      <w:szCs w:val="28"/>
                      <w:shd w:val="clear" w:color="auto" w:fill="FFFFFF"/>
                    </w:rPr>
                  </w:pPr>
                  <w:r>
                    <w:rPr>
                      <w:rFonts w:hint="eastAsia" w:ascii="宋体" w:hAnsi="宋体" w:eastAsia="宋体" w:cs="Arial"/>
                      <w:color w:val="000000"/>
                      <w:kern w:val="2"/>
                      <w:sz w:val="28"/>
                      <w:szCs w:val="28"/>
                      <w:shd w:val="clear" w:color="auto" w:fill="FFFFFF"/>
                    </w:rPr>
                    <w:t>每半年统计</w:t>
                  </w:r>
                </w:p>
              </w:tc>
            </w:tr>
          </w:tbl>
          <w:p>
            <w:pPr>
              <w:pStyle w:val="2"/>
              <w:rPr>
                <w:rFonts w:hint="eastAsia"/>
                <w:lang w:eastAsia="zh-CN"/>
              </w:rPr>
            </w:pPr>
          </w:p>
          <w:p>
            <w:pPr>
              <w:spacing w:line="240" w:lineRule="auto"/>
              <w:jc w:val="left"/>
              <w:rPr>
                <w:rFonts w:hint="eastAsia" w:eastAsia="宋体"/>
                <w:lang w:eastAsia="zh-CN"/>
              </w:rPr>
            </w:pPr>
            <w:r>
              <w:rPr>
                <w:rFonts w:hint="eastAsia" w:cs="Times New Roman"/>
                <w:sz w:val="21"/>
                <w:szCs w:val="21"/>
                <w:lang w:val="en-US" w:eastAsia="zh-CN"/>
              </w:rPr>
              <w:t>——</w:t>
            </w:r>
            <w:r>
              <w:rPr>
                <w:rFonts w:hint="eastAsia" w:ascii="Times New Roman" w:hAnsi="Times New Roman" w:eastAsia="宋体" w:cs="Times New Roman"/>
                <w:sz w:val="21"/>
                <w:szCs w:val="21"/>
              </w:rPr>
              <w:t>目标可测量</w:t>
            </w:r>
            <w:r>
              <w:rPr>
                <w:rFonts w:hint="eastAsia"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通过发放文件、会议（每周部门会议，每月公司会议）、培训等方式向员工传达，使得员工理解和应用</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建立管理体系，以实现公司的目标</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管理评审中对适宜性进行评审</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管理方针、目标</w:t>
            </w:r>
            <w:r>
              <w:rPr>
                <w:rFonts w:hint="eastAsia" w:ascii="Times New Roman" w:hAnsi="Times New Roman" w:eastAsia="宋体" w:cs="Times New Roman"/>
                <w:sz w:val="21"/>
                <w:szCs w:val="21"/>
                <w:lang w:val="en-US" w:eastAsia="zh-CN"/>
              </w:rPr>
              <w:t>及其实现的策划基本有效。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rPr>
            </w:pPr>
            <w:r>
              <w:rPr>
                <w:rFonts w:hint="eastAsia" w:ascii="宋体" w:hAnsi="宋体"/>
                <w:highlight w:val="none"/>
                <w:lang w:val="en-US" w:eastAsia="zh-CN"/>
              </w:rPr>
              <w:t>资源</w:t>
            </w:r>
          </w:p>
        </w:tc>
        <w:tc>
          <w:tcPr>
            <w:tcW w:w="960" w:type="dxa"/>
          </w:tcPr>
          <w:p>
            <w:pPr>
              <w:pStyle w:val="2"/>
              <w:rPr>
                <w:rFonts w:hint="default"/>
                <w:highlight w:val="none"/>
                <w:lang w:val="en-US" w:eastAsia="zh-CN"/>
              </w:rPr>
            </w:pPr>
            <w:r>
              <w:rPr>
                <w:rFonts w:hint="eastAsia"/>
                <w:highlight w:val="none"/>
                <w:lang w:val="en-US" w:eastAsia="zh-CN"/>
              </w:rPr>
              <w:t>ES7.1</w:t>
            </w:r>
          </w:p>
          <w:p>
            <w:pPr>
              <w:rPr>
                <w:rFonts w:hint="eastAsia"/>
                <w:lang w:val="en-US" w:eastAsia="zh-CN"/>
              </w:rPr>
            </w:pPr>
          </w:p>
        </w:tc>
        <w:tc>
          <w:tcPr>
            <w:tcW w:w="10004" w:type="dxa"/>
          </w:tcPr>
          <w:p>
            <w:pPr>
              <w:rPr>
                <w:rFonts w:hint="eastAsia"/>
                <w:lang w:val="en-US" w:eastAsia="zh-CN"/>
              </w:rPr>
            </w:pPr>
            <w:r>
              <w:rPr>
                <w:rFonts w:hint="eastAsia"/>
                <w:lang w:val="en-US" w:eastAsia="zh-CN"/>
              </w:rPr>
              <w:t>---企业办公场地220平、仓库2间；配置有灭火器，分类垃圾箱等环境安全设备；管理人员及销售人员经验丰富，员工接受过ES方面知识的培训；策划有全套ES管理体系文件。——资源满足公司现行业务规模运行需求。</w:t>
            </w:r>
          </w:p>
          <w:p>
            <w:pPr>
              <w:rPr>
                <w:rFonts w:hint="eastAsia" w:ascii="Times New Roman" w:hAnsi="Times New Roman" w:eastAsia="宋体" w:cs="Times New Roman"/>
                <w:sz w:val="21"/>
                <w:szCs w:val="21"/>
                <w:lang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highlight w:val="none"/>
                <w:lang w:val="en-US" w:eastAsia="zh-CN"/>
              </w:rPr>
            </w:pPr>
            <w:r>
              <w:rPr>
                <w:rFonts w:hint="eastAsia" w:ascii="宋体" w:hAnsi="宋体"/>
                <w:lang w:val="en-US" w:eastAsia="zh-CN"/>
              </w:rPr>
              <w:t>管理评审的策划及实施情况</w:t>
            </w:r>
          </w:p>
        </w:tc>
        <w:tc>
          <w:tcPr>
            <w:tcW w:w="960" w:type="dxa"/>
          </w:tcPr>
          <w:p>
            <w:pPr>
              <w:rPr>
                <w:rFonts w:hint="eastAsia"/>
                <w:lang w:val="en-US" w:eastAsia="zh-CN"/>
              </w:rPr>
            </w:pPr>
            <w:r>
              <w:rPr>
                <w:rFonts w:hint="eastAsia"/>
                <w:lang w:val="en-US" w:eastAsia="zh-CN"/>
              </w:rPr>
              <w:t>ES9.3</w:t>
            </w:r>
          </w:p>
        </w:tc>
        <w:tc>
          <w:tcPr>
            <w:tcW w:w="10004" w:type="dxa"/>
          </w:tcPr>
          <w:p>
            <w:pPr>
              <w:spacing w:line="240" w:lineRule="auto"/>
              <w:jc w:val="left"/>
              <w:rPr>
                <w:rFonts w:hint="eastAsia"/>
                <w:lang w:val="en-US" w:eastAsia="zh-CN"/>
              </w:rPr>
            </w:pPr>
            <w:r>
              <w:rPr>
                <w:rFonts w:hint="eastAsia"/>
                <w:lang w:val="en-US" w:eastAsia="zh-CN"/>
              </w:rPr>
              <w:t>---查公司策划了：管理评审程序。</w:t>
            </w:r>
          </w:p>
          <w:p>
            <w:pPr>
              <w:spacing w:line="240" w:lineRule="auto"/>
              <w:jc w:val="left"/>
              <w:rPr>
                <w:rFonts w:hint="eastAsia"/>
                <w:lang w:val="en-US" w:eastAsia="zh-CN"/>
              </w:rPr>
            </w:pPr>
            <w:r>
              <w:rPr>
                <w:rFonts w:hint="eastAsia"/>
                <w:lang w:val="en-US" w:eastAsia="zh-CN"/>
              </w:rPr>
              <w:t>---管理评审的实施情况：建立管理体系至今进行管评一次，提供了相应的记录，如下：</w:t>
            </w:r>
          </w:p>
          <w:p>
            <w:pPr>
              <w:spacing w:line="240" w:lineRule="auto"/>
              <w:jc w:val="left"/>
              <w:rPr>
                <w:rFonts w:hint="default" w:ascii="Times New Roman" w:hAnsi="Times New Roman" w:eastAsia="宋体" w:cs="Times New Roman"/>
                <w:sz w:val="21"/>
                <w:szCs w:val="21"/>
                <w:lang w:val="en-US" w:eastAsia="zh-CN"/>
              </w:rPr>
            </w:pPr>
            <w:r>
              <w:rPr>
                <w:rFonts w:hint="default"/>
                <w:lang w:val="en-US" w:eastAsia="zh-CN"/>
              </w:rPr>
              <w:t>公司在</w:t>
            </w:r>
            <w:r>
              <w:rPr>
                <w:rFonts w:hint="eastAsia"/>
                <w:lang w:val="en-US" w:eastAsia="zh-CN"/>
              </w:rPr>
              <w:t>2022.5.22.计划，</w:t>
            </w:r>
            <w:r>
              <w:rPr>
                <w:rFonts w:hint="default"/>
                <w:lang w:val="en-US" w:eastAsia="zh-CN"/>
              </w:rPr>
              <w:t>202</w:t>
            </w:r>
            <w:r>
              <w:rPr>
                <w:rFonts w:hint="eastAsia"/>
                <w:lang w:val="en-US" w:eastAsia="zh-CN"/>
              </w:rPr>
              <w:t>2.5.24.实施</w:t>
            </w:r>
            <w:r>
              <w:rPr>
                <w:rFonts w:hint="default"/>
                <w:lang w:val="en-US" w:eastAsia="zh-CN"/>
              </w:rPr>
              <w:t>了管理评审活动，所有职能部门参与，提供</w:t>
            </w:r>
            <w:r>
              <w:rPr>
                <w:rFonts w:hint="default"/>
                <w:highlight w:val="none"/>
                <w:lang w:val="en-US" w:eastAsia="zh-CN"/>
              </w:rPr>
              <w:t>了手写的签到表；</w:t>
            </w:r>
            <w:r>
              <w:rPr>
                <w:rFonts w:hint="default"/>
                <w:lang w:val="en-US" w:eastAsia="zh-CN"/>
              </w:rPr>
              <w:t>主要的输</w:t>
            </w:r>
            <w:r>
              <w:rPr>
                <w:rFonts w:hint="default" w:ascii="Times New Roman" w:hAnsi="Times New Roman" w:eastAsia="宋体" w:cs="Times New Roman"/>
                <w:sz w:val="21"/>
                <w:szCs w:val="21"/>
                <w:lang w:val="en-US" w:eastAsia="zh-CN"/>
              </w:rPr>
              <w:t>入：</w:t>
            </w:r>
          </w:p>
          <w:p>
            <w:pPr>
              <w:spacing w:before="0" w:after="0" w:line="360" w:lineRule="exact"/>
              <w:ind w:right="-193"/>
              <w:rPr>
                <w:rFonts w:hint="eastAsia" w:ascii="DFKai-SB"/>
                <w:bCs/>
                <w:sz w:val="24"/>
                <w:szCs w:val="24"/>
              </w:rPr>
            </w:pPr>
            <w:r>
              <w:rPr>
                <w:rFonts w:hint="eastAsia" w:ascii="DFKai-SB"/>
                <w:bCs/>
                <w:sz w:val="24"/>
                <w:szCs w:val="24"/>
              </w:rPr>
              <w:t>内审和外审的结果</w:t>
            </w:r>
          </w:p>
          <w:p>
            <w:pPr>
              <w:spacing w:before="0" w:after="0" w:line="360" w:lineRule="exact"/>
              <w:ind w:right="-193"/>
              <w:rPr>
                <w:rFonts w:hint="eastAsia" w:ascii="DFKai-SB"/>
                <w:bCs/>
                <w:sz w:val="24"/>
                <w:szCs w:val="24"/>
              </w:rPr>
            </w:pPr>
            <w:r>
              <w:rPr>
                <w:rFonts w:hint="eastAsia" w:ascii="DFKai-SB"/>
                <w:bCs/>
                <w:sz w:val="24"/>
                <w:szCs w:val="24"/>
              </w:rPr>
              <w:t>风险和机遇的策划及管理</w:t>
            </w:r>
          </w:p>
          <w:p>
            <w:pPr>
              <w:spacing w:before="0" w:after="0" w:line="360" w:lineRule="exact"/>
              <w:ind w:right="-193"/>
              <w:rPr>
                <w:rFonts w:hint="eastAsia" w:ascii="DFKai-SB"/>
                <w:bCs/>
                <w:sz w:val="24"/>
                <w:szCs w:val="24"/>
              </w:rPr>
            </w:pPr>
            <w:r>
              <w:rPr>
                <w:rFonts w:hint="eastAsia" w:ascii="DFKai-SB"/>
                <w:bCs/>
                <w:sz w:val="24"/>
                <w:szCs w:val="24"/>
              </w:rPr>
              <w:t>过程的业绩和产品的符合性</w:t>
            </w:r>
          </w:p>
          <w:p>
            <w:pPr>
              <w:spacing w:before="0" w:after="0" w:line="360" w:lineRule="exact"/>
              <w:ind w:right="-193"/>
              <w:rPr>
                <w:rFonts w:hint="eastAsia" w:ascii="DFKai-SB"/>
                <w:bCs/>
                <w:sz w:val="24"/>
                <w:szCs w:val="24"/>
              </w:rPr>
            </w:pPr>
            <w:r>
              <w:rPr>
                <w:rFonts w:hint="eastAsia" w:ascii="DFKai-SB"/>
                <w:bCs/>
                <w:sz w:val="24"/>
                <w:szCs w:val="24"/>
              </w:rPr>
              <w:t>客户的要求等、客户反馈的意见</w:t>
            </w:r>
          </w:p>
          <w:p>
            <w:pPr>
              <w:spacing w:before="0" w:after="0" w:line="360" w:lineRule="exact"/>
              <w:ind w:right="-193"/>
              <w:rPr>
                <w:rFonts w:hint="eastAsia"/>
                <w:sz w:val="24"/>
                <w:szCs w:val="24"/>
              </w:rPr>
            </w:pPr>
            <w:r>
              <w:rPr>
                <w:sz w:val="24"/>
                <w:szCs w:val="24"/>
              </w:rPr>
              <w:fldChar w:fldCharType="begin"/>
            </w:r>
            <w:r>
              <w:rPr>
                <w:sz w:val="24"/>
                <w:szCs w:val="24"/>
              </w:rPr>
              <w:instrText xml:space="preserve"> HYPERLINK "http://www.51ehs.com/tixirenzheng/" </w:instrText>
            </w:r>
            <w:r>
              <w:rPr>
                <w:sz w:val="24"/>
                <w:szCs w:val="24"/>
              </w:rPr>
              <w:fldChar w:fldCharType="separate"/>
            </w:r>
            <w:r>
              <w:rPr>
                <w:rFonts w:hint="eastAsia"/>
                <w:sz w:val="24"/>
                <w:szCs w:val="24"/>
              </w:rPr>
              <w:t>体系</w:t>
            </w:r>
            <w:r>
              <w:rPr>
                <w:sz w:val="24"/>
                <w:szCs w:val="24"/>
              </w:rPr>
              <w:fldChar w:fldCharType="end"/>
            </w:r>
            <w:r>
              <w:rPr>
                <w:rFonts w:hint="eastAsia"/>
                <w:sz w:val="24"/>
                <w:szCs w:val="24"/>
              </w:rPr>
              <w:t>的适宜性、充分性、有效性和绩效分析</w:t>
            </w:r>
          </w:p>
          <w:p>
            <w:pPr>
              <w:spacing w:before="0" w:after="0" w:line="360" w:lineRule="exact"/>
              <w:ind w:right="-193"/>
              <w:rPr>
                <w:rFonts w:hint="eastAsia" w:ascii="DFKai-SB"/>
                <w:bCs/>
                <w:sz w:val="24"/>
                <w:szCs w:val="24"/>
              </w:rPr>
            </w:pPr>
            <w:r>
              <w:rPr>
                <w:rFonts w:hint="eastAsia" w:ascii="DFKai-SB"/>
                <w:bCs/>
                <w:sz w:val="24"/>
                <w:szCs w:val="24"/>
              </w:rPr>
              <w:t>影响体系运作的变更</w:t>
            </w:r>
          </w:p>
          <w:p>
            <w:pPr>
              <w:spacing w:before="0" w:after="0" w:line="360" w:lineRule="exact"/>
              <w:ind w:right="-193"/>
              <w:rPr>
                <w:rFonts w:hint="eastAsia" w:ascii="DFKai-SB"/>
                <w:bCs/>
                <w:sz w:val="24"/>
                <w:szCs w:val="24"/>
              </w:rPr>
            </w:pPr>
            <w:r>
              <w:rPr>
                <w:rFonts w:hint="eastAsia" w:ascii="DFKai-SB"/>
                <w:bCs/>
                <w:sz w:val="24"/>
                <w:szCs w:val="24"/>
              </w:rPr>
              <w:t>变更管理要求</w:t>
            </w:r>
          </w:p>
          <w:p>
            <w:pPr>
              <w:spacing w:before="0" w:after="0" w:line="360" w:lineRule="exact"/>
              <w:ind w:right="-193"/>
              <w:rPr>
                <w:rFonts w:hint="eastAsia" w:ascii="DFKai-SB"/>
                <w:bCs/>
                <w:sz w:val="24"/>
                <w:szCs w:val="24"/>
              </w:rPr>
            </w:pPr>
            <w:r>
              <w:rPr>
                <w:rFonts w:hint="eastAsia" w:ascii="DFKai-SB"/>
                <w:bCs/>
                <w:sz w:val="24"/>
                <w:szCs w:val="24"/>
              </w:rPr>
              <w:t>以往管理评审情况</w:t>
            </w:r>
          </w:p>
          <w:p>
            <w:pPr>
              <w:spacing w:before="0" w:after="0" w:line="360" w:lineRule="exact"/>
              <w:ind w:right="-193"/>
              <w:rPr>
                <w:rFonts w:hint="eastAsia" w:ascii="DFKai-SB"/>
                <w:bCs/>
                <w:sz w:val="24"/>
                <w:szCs w:val="24"/>
              </w:rPr>
            </w:pPr>
            <w:r>
              <w:rPr>
                <w:rFonts w:hint="eastAsia" w:ascii="DFKai-SB"/>
                <w:bCs/>
                <w:sz w:val="24"/>
                <w:szCs w:val="24"/>
              </w:rPr>
              <w:t>纠正预防措施完成情况</w:t>
            </w:r>
          </w:p>
          <w:p>
            <w:pPr>
              <w:spacing w:before="0" w:after="0" w:line="360" w:lineRule="exact"/>
              <w:ind w:right="-193"/>
              <w:rPr>
                <w:rFonts w:hint="eastAsia" w:ascii="DFKai-SB"/>
                <w:bCs/>
                <w:sz w:val="24"/>
                <w:szCs w:val="24"/>
              </w:rPr>
            </w:pPr>
            <w:r>
              <w:rPr>
                <w:rFonts w:hint="eastAsia" w:ascii="DFKai-SB"/>
                <w:bCs/>
                <w:sz w:val="24"/>
                <w:szCs w:val="24"/>
              </w:rPr>
              <w:t>管理方针和目标的达成情况</w:t>
            </w:r>
          </w:p>
          <w:p>
            <w:pPr>
              <w:spacing w:before="0" w:after="0" w:line="360" w:lineRule="exact"/>
              <w:ind w:right="-193"/>
              <w:rPr>
                <w:rFonts w:hint="eastAsia" w:ascii="DFKai-SB"/>
                <w:bCs/>
                <w:sz w:val="24"/>
                <w:szCs w:val="24"/>
              </w:rPr>
            </w:pPr>
            <w:r>
              <w:rPr>
                <w:rFonts w:hint="eastAsia" w:ascii="DFKai-SB"/>
                <w:bCs/>
                <w:sz w:val="24"/>
                <w:szCs w:val="24"/>
              </w:rPr>
              <w:t>改进的建议</w:t>
            </w:r>
          </w:p>
          <w:p>
            <w:pPr>
              <w:pStyle w:val="2"/>
              <w:rPr>
                <w:rFonts w:hint="default"/>
                <w:lang w:val="en-US" w:eastAsia="zh-CN"/>
              </w:rPr>
            </w:pPr>
            <w:r>
              <w:rPr>
                <w:rFonts w:hint="eastAsia" w:ascii="DFKai-SB"/>
                <w:bCs/>
                <w:sz w:val="24"/>
                <w:szCs w:val="24"/>
              </w:rPr>
              <w:t>QEO体系运作中需改进的机会</w:t>
            </w:r>
            <w:r>
              <w:rPr>
                <w:rFonts w:hint="default"/>
                <w:lang w:val="en-US" w:eastAsia="zh-CN"/>
              </w:rPr>
              <w:t>评审结论：</w:t>
            </w:r>
          </w:p>
          <w:p>
            <w:pPr>
              <w:pStyle w:val="3"/>
              <w:spacing w:before="0" w:after="0" w:line="320" w:lineRule="exact"/>
              <w:ind w:firstLine="535"/>
              <w:rPr>
                <w:rFonts w:ascii="宋体" w:cs="Times New Roman"/>
                <w:sz w:val="24"/>
                <w:szCs w:val="24"/>
              </w:rPr>
            </w:pPr>
            <w:r>
              <w:rPr>
                <w:rFonts w:hint="eastAsia" w:ascii="宋体" w:hAnsi="宋体" w:cs="宋体"/>
                <w:sz w:val="24"/>
                <w:szCs w:val="24"/>
              </w:rPr>
              <w:t>公司的管理方针、管理目标</w:t>
            </w:r>
            <w:r>
              <w:rPr>
                <w:rFonts w:hint="eastAsia" w:cs="宋体"/>
                <w:sz w:val="24"/>
                <w:szCs w:val="24"/>
              </w:rPr>
              <w:t>能够适宜目前公司的状况，公司的QEO管理体系</w:t>
            </w:r>
            <w:r>
              <w:rPr>
                <w:rFonts w:hint="eastAsia" w:ascii="宋体" w:hAnsi="宋体" w:cs="宋体"/>
                <w:sz w:val="24"/>
                <w:szCs w:val="24"/>
              </w:rPr>
              <w:t>基本上是适宜、有效、充分的，能够满足顾客要求，符合法律法规和标准的要求。但在以下方面还存在一些问题：</w:t>
            </w:r>
          </w:p>
          <w:p>
            <w:pPr>
              <w:tabs>
                <w:tab w:val="center" w:pos="4156"/>
                <w:tab w:val="left" w:pos="5340"/>
              </w:tabs>
              <w:spacing w:before="0" w:after="0" w:line="320" w:lineRule="exact"/>
              <w:rPr>
                <w:rFonts w:ascii="宋体" w:cs="Times New Roman"/>
                <w:sz w:val="24"/>
                <w:szCs w:val="24"/>
              </w:rPr>
            </w:pPr>
          </w:p>
          <w:p>
            <w:pPr>
              <w:tabs>
                <w:tab w:val="center" w:pos="4156"/>
                <w:tab w:val="left" w:pos="5340"/>
              </w:tabs>
              <w:spacing w:before="0" w:after="0" w:line="320" w:lineRule="exact"/>
              <w:ind w:firstLine="480" w:firstLineChars="200"/>
              <w:rPr>
                <w:rFonts w:hint="eastAsia" w:ascii="宋体" w:hAnsi="宋体" w:cs="宋体"/>
                <w:sz w:val="24"/>
                <w:szCs w:val="24"/>
              </w:rPr>
            </w:pPr>
            <w:r>
              <w:rPr>
                <w:rFonts w:hint="eastAsia" w:ascii="宋体" w:hAnsi="宋体" w:cs="宋体"/>
                <w:sz w:val="24"/>
                <w:szCs w:val="24"/>
              </w:rPr>
              <w:t>大多人员对新标准不熟悉以及执行能力不够，需加强体系知识培训。</w:t>
            </w:r>
          </w:p>
          <w:p>
            <w:pPr>
              <w:pStyle w:val="2"/>
              <w:rPr>
                <w:rFonts w:hint="eastAsia"/>
              </w:rPr>
            </w:pPr>
          </w:p>
          <w:p>
            <w:pPr>
              <w:pStyle w:val="2"/>
              <w:rPr>
                <w:rFonts w:hint="default"/>
                <w:lang w:val="en-US" w:eastAsia="zh-CN"/>
              </w:rPr>
            </w:pPr>
            <w:r>
              <w:rPr>
                <w:rFonts w:hint="default"/>
                <w:lang w:val="en-US" w:eastAsia="zh-CN"/>
              </w:rPr>
              <w:t>改进、纠正和预防措施摘要及责任部门：</w:t>
            </w:r>
          </w:p>
          <w:p>
            <w:pPr>
              <w:numPr>
                <w:ilvl w:val="0"/>
                <w:numId w:val="0"/>
              </w:numPr>
              <w:spacing w:before="0" w:after="0" w:line="320" w:lineRule="exact"/>
              <w:ind w:right="-334" w:rightChars="-159"/>
              <w:rPr>
                <w:rFonts w:ascii="宋体" w:cs="Times New Roman"/>
                <w:sz w:val="24"/>
                <w:szCs w:val="24"/>
              </w:rPr>
            </w:pPr>
            <w:r>
              <w:rPr>
                <w:rFonts w:hint="eastAsia" w:ascii="宋体" w:hAnsi="宋体" w:cs="宋体"/>
                <w:sz w:val="24"/>
                <w:szCs w:val="24"/>
              </w:rPr>
              <w:t>办公室组织标准的培训；</w:t>
            </w:r>
          </w:p>
          <w:p>
            <w:pPr>
              <w:pStyle w:val="2"/>
              <w:rPr>
                <w:rFonts w:hint="eastAsia" w:ascii="宋体" w:cs="Times New Roman"/>
                <w:sz w:val="24"/>
                <w:szCs w:val="24"/>
              </w:rPr>
            </w:pPr>
            <w:r>
              <w:rPr>
                <w:rFonts w:hint="eastAsia" w:ascii="宋体" w:cs="Times New Roman"/>
                <w:sz w:val="24"/>
                <w:szCs w:val="24"/>
              </w:rPr>
              <w:t>各部门负责人积极参与体系的运行，并对本部门体系运行及改进情况负责。</w:t>
            </w:r>
          </w:p>
          <w:p>
            <w:pPr>
              <w:pStyle w:val="2"/>
              <w:rPr>
                <w:rFonts w:hint="default"/>
                <w:lang w:val="en-US" w:eastAsia="zh-CN"/>
              </w:rPr>
            </w:pPr>
            <w:r>
              <w:rPr>
                <w:rFonts w:hint="eastAsia"/>
                <w:lang w:val="en-US" w:eastAsia="zh-CN"/>
              </w:rPr>
              <w:t>---管评已发放相关职能部门。</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lang w:val="en-US" w:eastAsia="zh-CN"/>
              </w:rPr>
            </w:pPr>
            <w:r>
              <w:rPr>
                <w:rFonts w:hint="eastAsia"/>
                <w:sz w:val="21"/>
                <w:szCs w:val="21"/>
              </w:rPr>
              <w:t>改进机制的建立</w:t>
            </w:r>
          </w:p>
        </w:tc>
        <w:tc>
          <w:tcPr>
            <w:tcW w:w="960" w:type="dxa"/>
          </w:tcPr>
          <w:p>
            <w:pPr>
              <w:rPr>
                <w:rFonts w:hint="eastAsia"/>
                <w:lang w:val="en-US" w:eastAsia="zh-CN"/>
              </w:rPr>
            </w:pPr>
            <w:r>
              <w:rPr>
                <w:rFonts w:hint="eastAsia"/>
                <w:lang w:val="en-US" w:eastAsia="zh-CN"/>
              </w:rPr>
              <w:t>ES10.1</w:t>
            </w:r>
          </w:p>
        </w:tc>
        <w:tc>
          <w:tcPr>
            <w:tcW w:w="10004" w:type="dxa"/>
          </w:tcPr>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---策划了下列成文信息：</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内部审核控制程序</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管理评审控制程序</w:t>
            </w:r>
          </w:p>
          <w:p>
            <w:pPr>
              <w:spacing w:line="240" w:lineRule="auto"/>
              <w:jc w:val="left"/>
              <w:rPr>
                <w:rFonts w:hint="eastAsia" w:ascii="宋体" w:hAnsi="宋体"/>
              </w:rPr>
            </w:pPr>
            <w:r>
              <w:rPr>
                <w:rFonts w:hint="eastAsia" w:ascii="宋体" w:hAnsi="宋体"/>
              </w:rPr>
              <w:t>纠正措施和预防措施控制程序</w:t>
            </w:r>
          </w:p>
          <w:p>
            <w:pPr>
              <w:spacing w:line="240" w:lineRule="auto"/>
              <w:jc w:val="left"/>
              <w:rPr>
                <w:rFonts w:hint="eastAsia" w:ascii="宋体" w:hAnsi="宋体"/>
              </w:rPr>
            </w:pPr>
            <w:r>
              <w:rPr>
                <w:rFonts w:hint="eastAsia" w:ascii="宋体" w:hAnsi="宋体"/>
              </w:rPr>
              <w:t>事件调查、事故处置、不符合控制程序</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合规性评价程序</w:t>
            </w:r>
          </w:p>
          <w:p>
            <w:pPr>
              <w:rPr>
                <w:rFonts w:hint="default" w:ascii="Times New Roman" w:hAnsi="Times New Roman" w:eastAsia="宋体" w:cs="Times New Roman"/>
                <w:sz w:val="21"/>
                <w:szCs w:val="21"/>
                <w:lang w:val="en-US" w:eastAsia="zh-CN"/>
              </w:rPr>
            </w:pPr>
            <w:r>
              <w:rPr>
                <w:rFonts w:hint="eastAsia" w:cs="Times New Roman"/>
                <w:sz w:val="21"/>
                <w:szCs w:val="21"/>
                <w:lang w:eastAsia="zh-CN"/>
              </w:rPr>
              <w:t>——</w:t>
            </w:r>
            <w:r>
              <w:rPr>
                <w:rFonts w:hint="eastAsia" w:cs="Times New Roman"/>
                <w:sz w:val="21"/>
                <w:szCs w:val="21"/>
                <w:lang w:val="en-US" w:eastAsia="zh-CN"/>
              </w:rPr>
              <w:t>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ascii="宋体" w:hAnsi="宋体"/>
              </w:rPr>
              <w:t>产品质量状况(包括环境/安全事故、顾客投诉、监督部门抽查/监测等</w:t>
            </w:r>
          </w:p>
        </w:tc>
        <w:tc>
          <w:tcPr>
            <w:tcW w:w="960" w:type="dxa"/>
          </w:tcPr>
          <w:p>
            <w:pPr>
              <w:rPr>
                <w:rFonts w:hint="eastAsia"/>
                <w:lang w:val="en-US" w:eastAsia="zh-CN"/>
              </w:rPr>
            </w:pPr>
          </w:p>
        </w:tc>
        <w:tc>
          <w:tcPr>
            <w:tcW w:w="10004" w:type="dxa"/>
          </w:tcPr>
          <w:p>
            <w:pPr>
              <w:pStyle w:val="14"/>
              <w:rPr>
                <w:rFonts w:hint="eastAsia"/>
              </w:rPr>
            </w:pPr>
            <w:r>
              <w:rPr>
                <w:rFonts w:hint="eastAsia"/>
              </w:rPr>
              <w:t>公司领导介绍，公司在年度</w:t>
            </w:r>
            <w:r>
              <w:rPr>
                <w:rFonts w:hint="eastAsia"/>
                <w:lang w:val="en-US" w:eastAsia="zh-CN"/>
              </w:rPr>
              <w:t>顾客</w:t>
            </w:r>
            <w:r>
              <w:rPr>
                <w:rFonts w:hint="eastAsia"/>
              </w:rPr>
              <w:t>满意程度调查中，得分较高。同时，至今无重大投诉、媒体曝光、人员伤亡及重大事故（职业健康安全/环境事故）发生。</w:t>
            </w:r>
          </w:p>
          <w:p>
            <w:pPr>
              <w:pStyle w:val="14"/>
              <w:rPr>
                <w:rFonts w:hint="eastAsia"/>
                <w:lang w:val="en-US" w:eastAsia="zh-CN"/>
              </w:rPr>
            </w:pPr>
            <w:r>
              <w:rPr>
                <w:rFonts w:hint="eastAsia"/>
                <w:lang w:val="en-US" w:eastAsia="zh-CN"/>
              </w:rPr>
              <w:t>通过信用中国等公开渠道查询，未发现行政处罚及异常经营信息。</w:t>
            </w:r>
          </w:p>
          <w:p>
            <w:pPr>
              <w:pStyle w:val="14"/>
              <w:rPr>
                <w:rFonts w:hint="eastAsia"/>
                <w:lang w:val="en-US" w:eastAsia="zh-CN"/>
              </w:rPr>
            </w:pPr>
            <w:r>
              <w:rPr>
                <w:rFonts w:hint="eastAsia"/>
                <w:lang w:val="en-US" w:eastAsia="zh-CN"/>
              </w:rPr>
              <w:t>复查营业执照范围及期限，完全覆盖本次审核范围。</w:t>
            </w:r>
          </w:p>
          <w:p>
            <w:pPr>
              <w:rPr>
                <w:rFonts w:hint="eastAsia" w:ascii="Times New Roman" w:hAnsi="Times New Roman" w:eastAsia="宋体" w:cs="Times New Roman"/>
                <w:sz w:val="21"/>
                <w:szCs w:val="21"/>
                <w:lang w:val="en-US" w:eastAsia="zh-CN"/>
              </w:rPr>
            </w:pPr>
            <w:r>
              <w:rPr>
                <w:rFonts w:hint="eastAsia"/>
                <w:lang w:val="en-US" w:eastAsia="zh-CN"/>
              </w:rPr>
              <w:t>经核实，企业无需特定许可经营资质。</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4"/>
    <w:multiLevelType w:val="multilevel"/>
    <w:tmpl w:val="00000024"/>
    <w:lvl w:ilvl="0" w:tentative="0">
      <w:start w:val="1"/>
      <w:numFmt w:val="lowerLetter"/>
      <w:lvlText w:val="%1)"/>
      <w:lvlJc w:val="left"/>
      <w:pPr>
        <w:tabs>
          <w:tab w:val="left" w:pos="846"/>
        </w:tabs>
        <w:ind w:left="846"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mYzZkNjY3OTU4NDczNmE2MzQyY2ZjMDNmYTJmNDMifQ=="/>
  </w:docVars>
  <w:rsids>
    <w:rsidRoot w:val="00000000"/>
    <w:rsid w:val="04506958"/>
    <w:rsid w:val="04FE0CDB"/>
    <w:rsid w:val="0755427E"/>
    <w:rsid w:val="07891FF3"/>
    <w:rsid w:val="095E025C"/>
    <w:rsid w:val="0B4501AD"/>
    <w:rsid w:val="0E035601"/>
    <w:rsid w:val="101A2A0F"/>
    <w:rsid w:val="10A937CF"/>
    <w:rsid w:val="19380F7B"/>
    <w:rsid w:val="1D4524C8"/>
    <w:rsid w:val="20597BCD"/>
    <w:rsid w:val="20F3093F"/>
    <w:rsid w:val="26E66850"/>
    <w:rsid w:val="27C70430"/>
    <w:rsid w:val="28AD305E"/>
    <w:rsid w:val="28E95696"/>
    <w:rsid w:val="2AA854D6"/>
    <w:rsid w:val="2BCE4483"/>
    <w:rsid w:val="2DC93154"/>
    <w:rsid w:val="309959B3"/>
    <w:rsid w:val="30DC0C5C"/>
    <w:rsid w:val="32317D25"/>
    <w:rsid w:val="33AD2BD0"/>
    <w:rsid w:val="340D366E"/>
    <w:rsid w:val="353E374D"/>
    <w:rsid w:val="37180D61"/>
    <w:rsid w:val="37E06FAC"/>
    <w:rsid w:val="3AD26DE0"/>
    <w:rsid w:val="42B0448A"/>
    <w:rsid w:val="43B6162D"/>
    <w:rsid w:val="461E5711"/>
    <w:rsid w:val="463F5CA2"/>
    <w:rsid w:val="476F66C2"/>
    <w:rsid w:val="4CFA1B21"/>
    <w:rsid w:val="4EA8034A"/>
    <w:rsid w:val="52E2243E"/>
    <w:rsid w:val="54317776"/>
    <w:rsid w:val="5B243836"/>
    <w:rsid w:val="5F9B3789"/>
    <w:rsid w:val="63BC103F"/>
    <w:rsid w:val="655D5954"/>
    <w:rsid w:val="680931AD"/>
    <w:rsid w:val="6B78342D"/>
    <w:rsid w:val="6DD54C21"/>
    <w:rsid w:val="6EBD7464"/>
    <w:rsid w:val="6F6A3147"/>
    <w:rsid w:val="6F942EF3"/>
    <w:rsid w:val="733A5B3C"/>
    <w:rsid w:val="74E6741B"/>
    <w:rsid w:val="78BE5A0F"/>
    <w:rsid w:val="7C1666E2"/>
    <w:rsid w:val="7C883BA3"/>
    <w:rsid w:val="7E320B08"/>
    <w:rsid w:val="7EB20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jc w:val="left"/>
    </w:pPr>
    <w:rPr>
      <w:rFonts w:ascii="Times New Roman" w:hAnsi="Times New Roman" w:eastAsia="宋体"/>
    </w:rPr>
  </w:style>
  <w:style w:type="paragraph" w:styleId="3">
    <w:name w:val="Body Text Indent"/>
    <w:basedOn w:val="1"/>
    <w:uiPriority w:val="99"/>
    <w:pPr>
      <w:spacing w:after="12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3336</Words>
  <Characters>3550</Characters>
  <Lines>1</Lines>
  <Paragraphs>1</Paragraphs>
  <TotalTime>2</TotalTime>
  <ScaleCrop>false</ScaleCrop>
  <LinksUpToDate>false</LinksUpToDate>
  <CharactersWithSpaces>3604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2022-10-15T15:52:46Z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2052-11.1.0.12132</vt:lpwstr>
  </property>
</Properties>
</file>