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综合部；</w:t>
            </w:r>
            <w:bookmarkStart w:id="1" w:name="_GoBack"/>
            <w:bookmarkEnd w:id="1"/>
            <w:r>
              <w:rPr>
                <w:rFonts w:hint="eastAsia"/>
                <w:sz w:val="24"/>
                <w:szCs w:val="24"/>
              </w:rPr>
              <w:t>主管领导：郭佳佳</w:t>
            </w:r>
            <w:r>
              <w:rPr>
                <w:rFonts w:hint="eastAsia"/>
                <w:sz w:val="24"/>
                <w:szCs w:val="24"/>
                <w:lang w:eastAsia="zh-CN"/>
              </w:rPr>
              <w:t>；</w:t>
            </w:r>
            <w:r>
              <w:rPr>
                <w:rFonts w:hint="eastAsia"/>
                <w:sz w:val="24"/>
                <w:szCs w:val="24"/>
              </w:rPr>
              <w:t>陪同人员：赵阳</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周文；方式：远程；工具：微信，手机；</w:t>
            </w:r>
            <w:r>
              <w:rPr>
                <w:rFonts w:hint="eastAsia"/>
                <w:sz w:val="24"/>
                <w:szCs w:val="24"/>
              </w:rPr>
              <w:t>审核时间：</w:t>
            </w:r>
            <w:bookmarkStart w:id="0" w:name="审核日期"/>
            <w:r>
              <w:t xml:space="preserve">2022年10月14日 </w:t>
            </w:r>
            <w:bookmarkEnd w:id="0"/>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300" w:lineRule="exact"/>
              <w:rPr>
                <w:rFonts w:hint="eastAsia"/>
                <w:lang w:val="en-US" w:eastAsia="zh-CN"/>
              </w:rPr>
            </w:pPr>
            <w:r>
              <w:rPr>
                <w:rFonts w:hint="eastAsia"/>
                <w:sz w:val="24"/>
                <w:szCs w:val="24"/>
              </w:rPr>
              <w:t>审核条款：</w:t>
            </w:r>
            <w:r>
              <w:rPr>
                <w:rFonts w:hint="eastAsia"/>
              </w:rPr>
              <w:t>EMS：</w:t>
            </w:r>
            <w:r>
              <w:rPr>
                <w:rFonts w:hint="eastAsia"/>
                <w:lang w:val="en-US" w:eastAsia="zh-CN"/>
              </w:rPr>
              <w:t>6.1.2，6.1.3，6.1.4，6.2，8.1，8.2，9.1.1，9.1.2，10.2；</w:t>
            </w:r>
          </w:p>
          <w:p>
            <w:pPr>
              <w:rPr>
                <w:sz w:val="24"/>
                <w:szCs w:val="24"/>
              </w:rPr>
            </w:pPr>
            <w:r>
              <w:rPr>
                <w:rFonts w:hint="eastAsia"/>
                <w:sz w:val="21"/>
                <w:szCs w:val="21"/>
              </w:rPr>
              <w:t>OHS：</w:t>
            </w:r>
            <w:r>
              <w:rPr>
                <w:rFonts w:hint="eastAsia"/>
                <w:lang w:val="en-US" w:eastAsia="zh-CN"/>
              </w:rPr>
              <w:t>6.1.2，6.1.3，6.1.4，6.2，8.1，8.2，9.1.1，9.1.2，10.2；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default"/>
                <w:lang w:val="en-US"/>
              </w:rPr>
            </w:pPr>
            <w:r>
              <w:rPr>
                <w:rFonts w:hint="eastAsia"/>
                <w:sz w:val="21"/>
                <w:szCs w:val="21"/>
                <w:lang w:val="en-US" w:eastAsia="zh-CN"/>
              </w:rPr>
              <w:t>环境因素、危险源、职业健康安全风险和机遇的识别评价及控制措施</w:t>
            </w:r>
          </w:p>
        </w:tc>
        <w:tc>
          <w:tcPr>
            <w:tcW w:w="960" w:type="dxa"/>
          </w:tcPr>
          <w:p>
            <w:pPr>
              <w:rPr>
                <w:rFonts w:hint="default"/>
                <w:lang w:val="en-US"/>
              </w:rPr>
            </w:pPr>
            <w:r>
              <w:rPr>
                <w:rFonts w:hint="eastAsia"/>
                <w:sz w:val="21"/>
                <w:szCs w:val="21"/>
                <w:lang w:val="en-US" w:eastAsia="zh-CN"/>
              </w:rPr>
              <w:t>ES6.1.2/6.1.4</w:t>
            </w:r>
          </w:p>
        </w:tc>
        <w:tc>
          <w:tcPr>
            <w:tcW w:w="10004" w:type="dxa"/>
          </w:tcPr>
          <w:p>
            <w:pPr>
              <w:pStyle w:val="2"/>
              <w:spacing w:line="240" w:lineRule="auto"/>
              <w:rPr>
                <w:rFonts w:hint="default"/>
                <w:sz w:val="21"/>
                <w:szCs w:val="21"/>
                <w:lang w:val="en-US" w:eastAsia="zh-CN"/>
              </w:rPr>
            </w:pPr>
            <w:r>
              <w:rPr>
                <w:rFonts w:hint="eastAsia"/>
                <w:sz w:val="21"/>
                <w:szCs w:val="21"/>
                <w:lang w:val="en-US" w:eastAsia="zh-CN"/>
              </w:rPr>
              <w:t>---策划有《</w:t>
            </w:r>
            <w:r>
              <w:rPr>
                <w:rFonts w:hint="eastAsia" w:ascii="宋体" w:hAnsi="宋体"/>
                <w:color w:val="000000"/>
                <w:sz w:val="21"/>
                <w:szCs w:val="21"/>
              </w:rPr>
              <w:t>环境因素识别与评价控制程序</w:t>
            </w:r>
            <w:r>
              <w:rPr>
                <w:rFonts w:hint="eastAsia" w:ascii="宋体" w:hAnsi="宋体"/>
                <w:color w:val="000000"/>
                <w:sz w:val="21"/>
                <w:szCs w:val="21"/>
                <w:lang w:eastAsia="zh-CN"/>
              </w:rPr>
              <w:t>》、《</w:t>
            </w:r>
            <w:r>
              <w:rPr>
                <w:rFonts w:hint="eastAsia"/>
                <w:sz w:val="21"/>
                <w:szCs w:val="21"/>
                <w:lang w:val="en-US" w:eastAsia="zh-CN"/>
              </w:rPr>
              <w:t>危险源辩识风险评价控制程序》等作业程序和“环境目标指标管理方案”、“安全目标指标管理方案”“环境因素识别评价汇总表”、“危险源辨识和风险评价一览表”、“重要环境因素清单”、“重大危险源清单”等作业文件及记录。——本部门主控</w:t>
            </w:r>
          </w:p>
          <w:p>
            <w:pPr>
              <w:pStyle w:val="2"/>
              <w:spacing w:line="240" w:lineRule="auto"/>
              <w:rPr>
                <w:rFonts w:hint="default"/>
                <w:sz w:val="21"/>
                <w:szCs w:val="21"/>
                <w:lang w:val="en-US" w:eastAsia="zh-CN"/>
              </w:rPr>
            </w:pPr>
            <w:r>
              <w:rPr>
                <w:rFonts w:hint="eastAsia"/>
                <w:sz w:val="21"/>
                <w:szCs w:val="21"/>
                <w:lang w:val="en-US" w:eastAsia="zh-CN"/>
              </w:rPr>
              <w:t>查：“环境因素识别评价汇总表”以经验分析法按职能部门及生产经营全过程的各种活动共识别水、气、声、光、废、危废等各种环境因素共40项，识别基本充分并制定有相应的管理措施。主要有生活废水的排放、办公废弃物的排放、水电消耗等。</w:t>
            </w:r>
          </w:p>
          <w:p>
            <w:pPr>
              <w:pStyle w:val="2"/>
              <w:spacing w:line="240" w:lineRule="auto"/>
              <w:rPr>
                <w:rFonts w:hint="eastAsia"/>
                <w:sz w:val="21"/>
                <w:szCs w:val="21"/>
                <w:lang w:val="en-US" w:eastAsia="zh-CN"/>
              </w:rPr>
            </w:pPr>
            <w:r>
              <w:rPr>
                <w:rFonts w:hint="eastAsia"/>
                <w:sz w:val="21"/>
                <w:szCs w:val="21"/>
                <w:lang w:val="en-US" w:eastAsia="zh-CN"/>
              </w:rPr>
              <w:t>跟踪核查“重要环境因素清单”：</w:t>
            </w:r>
          </w:p>
          <w:p>
            <w:pPr>
              <w:pStyle w:val="2"/>
              <w:spacing w:line="240" w:lineRule="auto"/>
              <w:rPr>
                <w:rFonts w:hint="eastAsia"/>
                <w:sz w:val="21"/>
                <w:szCs w:val="21"/>
                <w:lang w:val="en-US" w:eastAsia="zh-CN"/>
              </w:rPr>
            </w:pPr>
            <w:r>
              <w:rPr>
                <w:rFonts w:hint="default"/>
                <w:sz w:val="21"/>
                <w:szCs w:val="21"/>
                <w:lang w:val="en-US" w:eastAsia="zh-CN"/>
              </w:rPr>
              <w:t>重要环境因素</w:t>
            </w:r>
            <w:r>
              <w:rPr>
                <w:rFonts w:hint="eastAsia"/>
                <w:sz w:val="21"/>
                <w:szCs w:val="21"/>
                <w:lang w:val="en-US" w:eastAsia="zh-CN"/>
              </w:rPr>
              <w:t>：固体废弃物排放；</w:t>
            </w:r>
            <w:r>
              <w:rPr>
                <w:rFonts w:hint="eastAsia"/>
              </w:rPr>
              <w:t>火灾</w:t>
            </w:r>
            <w:r>
              <w:rPr>
                <w:rFonts w:hint="eastAsia"/>
                <w:sz w:val="21"/>
                <w:szCs w:val="21"/>
                <w:lang w:val="en-US" w:eastAsia="zh-CN"/>
              </w:rPr>
              <w:t>；</w:t>
            </w:r>
          </w:p>
          <w:p>
            <w:pPr>
              <w:pStyle w:val="2"/>
              <w:spacing w:line="240" w:lineRule="auto"/>
              <w:rPr>
                <w:rFonts w:hint="default"/>
                <w:sz w:val="21"/>
                <w:szCs w:val="21"/>
                <w:lang w:val="en-US" w:eastAsia="zh-CN"/>
              </w:rPr>
            </w:pPr>
            <w:r>
              <w:rPr>
                <w:rFonts w:hint="default"/>
                <w:sz w:val="21"/>
                <w:szCs w:val="21"/>
                <w:lang w:val="en-US" w:eastAsia="zh-CN"/>
              </w:rPr>
              <w:t>控制措施</w:t>
            </w:r>
            <w:r>
              <w:rPr>
                <w:rFonts w:hint="eastAsia"/>
                <w:sz w:val="21"/>
                <w:szCs w:val="21"/>
                <w:lang w:val="en-US" w:eastAsia="zh-CN"/>
              </w:rPr>
              <w:t>：</w:t>
            </w:r>
            <w:r>
              <w:rPr>
                <w:rFonts w:hint="eastAsia"/>
              </w:rPr>
              <w:t>应急预案、制度</w:t>
            </w:r>
            <w:r>
              <w:rPr>
                <w:rFonts w:hint="eastAsia"/>
                <w:sz w:val="21"/>
                <w:szCs w:val="21"/>
                <w:lang w:val="en-US" w:eastAsia="zh-CN"/>
              </w:rPr>
              <w:t>。</w:t>
            </w:r>
          </w:p>
          <w:p>
            <w:pPr>
              <w:pStyle w:val="2"/>
              <w:spacing w:line="240" w:lineRule="auto"/>
              <w:rPr>
                <w:rFonts w:hint="default"/>
                <w:sz w:val="21"/>
                <w:szCs w:val="21"/>
                <w:lang w:val="en-US" w:eastAsia="zh-CN"/>
              </w:rPr>
            </w:pPr>
            <w:r>
              <w:rPr>
                <w:rFonts w:hint="eastAsia"/>
                <w:sz w:val="21"/>
                <w:szCs w:val="21"/>
                <w:lang w:val="en-US" w:eastAsia="zh-CN"/>
              </w:rPr>
              <w:t>查：“危险源辨识和风险评价一览表”按经营全过程的各种活动共识别危险源39项，包含炎热高温；用电设置不合理、电源线路、插座老化；消防器材失效等等。以LEC定量评价法进行评价并制订有相应的控制措施。</w:t>
            </w:r>
          </w:p>
          <w:p>
            <w:pPr>
              <w:pStyle w:val="2"/>
              <w:spacing w:line="240" w:lineRule="auto"/>
              <w:rPr>
                <w:rFonts w:hint="eastAsia"/>
                <w:sz w:val="21"/>
                <w:szCs w:val="21"/>
                <w:lang w:val="en-US" w:eastAsia="zh-CN"/>
              </w:rPr>
            </w:pPr>
            <w:r>
              <w:rPr>
                <w:rFonts w:hint="eastAsia"/>
                <w:sz w:val="21"/>
                <w:szCs w:val="21"/>
                <w:lang w:val="en-US" w:eastAsia="zh-CN"/>
              </w:rPr>
              <w:t>跟踪核查“不可接受风险清单”：</w:t>
            </w:r>
          </w:p>
          <w:p>
            <w:pPr>
              <w:pStyle w:val="2"/>
              <w:spacing w:line="240" w:lineRule="auto"/>
              <w:rPr>
                <w:rFonts w:hint="eastAsia"/>
                <w:sz w:val="21"/>
                <w:szCs w:val="21"/>
                <w:lang w:val="en-US" w:eastAsia="zh-CN"/>
              </w:rPr>
            </w:pPr>
            <w:r>
              <w:rPr>
                <w:rFonts w:hint="eastAsia"/>
                <w:sz w:val="21"/>
                <w:szCs w:val="21"/>
                <w:lang w:val="en-US" w:eastAsia="zh-CN"/>
              </w:rPr>
              <w:t>风险、危险源：</w:t>
            </w:r>
          </w:p>
          <w:p>
            <w:pPr>
              <w:pStyle w:val="2"/>
              <w:numPr>
                <w:ilvl w:val="0"/>
                <w:numId w:val="1"/>
              </w:numPr>
              <w:spacing w:line="240" w:lineRule="auto"/>
              <w:rPr>
                <w:rFonts w:hint="eastAsia"/>
                <w:sz w:val="21"/>
                <w:szCs w:val="21"/>
                <w:lang w:val="en-US" w:eastAsia="zh-CN"/>
              </w:rPr>
            </w:pPr>
            <w:r>
              <w:rPr>
                <w:rFonts w:hint="eastAsia"/>
                <w:sz w:val="21"/>
                <w:szCs w:val="21"/>
                <w:lang w:val="en-US" w:eastAsia="zh-CN"/>
              </w:rPr>
              <w:t>货物倒塌/人员伤害；</w:t>
            </w:r>
          </w:p>
          <w:p>
            <w:pPr>
              <w:pStyle w:val="2"/>
              <w:numPr>
                <w:ilvl w:val="0"/>
                <w:numId w:val="1"/>
              </w:numPr>
              <w:spacing w:line="240" w:lineRule="auto"/>
              <w:rPr>
                <w:rFonts w:hint="default"/>
                <w:sz w:val="21"/>
                <w:szCs w:val="21"/>
                <w:lang w:val="en-US" w:eastAsia="zh-CN"/>
              </w:rPr>
            </w:pPr>
            <w:r>
              <w:rPr>
                <w:rFonts w:hint="default"/>
                <w:sz w:val="21"/>
                <w:szCs w:val="21"/>
                <w:lang w:val="en-US" w:eastAsia="zh-CN"/>
              </w:rPr>
              <w:t>电器使用操作不当、线路故障</w:t>
            </w:r>
            <w:r>
              <w:rPr>
                <w:rFonts w:hint="eastAsia"/>
                <w:sz w:val="21"/>
                <w:szCs w:val="21"/>
                <w:lang w:val="en-US" w:eastAsia="zh-CN"/>
              </w:rPr>
              <w:t>/触电；</w:t>
            </w:r>
          </w:p>
          <w:p>
            <w:pPr>
              <w:pStyle w:val="2"/>
              <w:numPr>
                <w:ilvl w:val="0"/>
                <w:numId w:val="1"/>
              </w:numPr>
              <w:spacing w:line="240" w:lineRule="auto"/>
              <w:rPr>
                <w:rFonts w:hint="default"/>
                <w:sz w:val="21"/>
                <w:szCs w:val="21"/>
                <w:lang w:val="en-US" w:eastAsia="zh-CN"/>
              </w:rPr>
            </w:pPr>
            <w:r>
              <w:rPr>
                <w:rFonts w:hint="default"/>
                <w:sz w:val="21"/>
                <w:szCs w:val="21"/>
                <w:lang w:val="en-US" w:eastAsia="zh-CN"/>
              </w:rPr>
              <w:t>交通事故造成伤亡</w:t>
            </w:r>
            <w:r>
              <w:rPr>
                <w:rFonts w:hint="eastAsia"/>
                <w:sz w:val="21"/>
                <w:szCs w:val="21"/>
                <w:lang w:val="en-US" w:eastAsia="zh-CN"/>
              </w:rPr>
              <w:t>/交通事故；</w:t>
            </w:r>
          </w:p>
          <w:p>
            <w:pPr>
              <w:pStyle w:val="2"/>
              <w:numPr>
                <w:ilvl w:val="0"/>
                <w:numId w:val="0"/>
              </w:numPr>
              <w:spacing w:line="240" w:lineRule="auto"/>
              <w:rPr>
                <w:rFonts w:hint="eastAsia"/>
                <w:sz w:val="21"/>
                <w:szCs w:val="21"/>
                <w:lang w:val="en-US" w:eastAsia="zh-CN"/>
              </w:rPr>
            </w:pPr>
            <w:r>
              <w:rPr>
                <w:rFonts w:hint="eastAsia"/>
                <w:sz w:val="21"/>
                <w:szCs w:val="21"/>
                <w:lang w:val="en-US" w:eastAsia="zh-CN"/>
              </w:rPr>
              <w:t>措施：A、目标、管理方案    B、进行控制    C、应急    D、监测    E、培训</w:t>
            </w:r>
          </w:p>
          <w:p>
            <w:r>
              <w:rPr>
                <w:rFonts w:hint="eastAsia"/>
                <w:color w:val="auto"/>
                <w:sz w:val="21"/>
                <w:szCs w:val="21"/>
                <w:lang w:val="en-US" w:eastAsia="zh-CN"/>
              </w:rPr>
              <w:t>——策划基本符合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hint="eastAsia" w:eastAsia="宋体"/>
                <w:lang w:val="en-US" w:eastAsia="zh-CN"/>
              </w:rPr>
            </w:pPr>
            <w:r>
              <w:rPr>
                <w:rFonts w:hint="eastAsia"/>
                <w:lang w:val="en-US" w:eastAsia="zh-CN"/>
              </w:rPr>
              <w:t>合规义务及合规性评价</w:t>
            </w:r>
          </w:p>
        </w:tc>
        <w:tc>
          <w:tcPr>
            <w:tcW w:w="960" w:type="dxa"/>
          </w:tcPr>
          <w:p>
            <w:pPr>
              <w:rPr>
                <w:rFonts w:hint="default" w:eastAsia="宋体"/>
                <w:lang w:val="en-US" w:eastAsia="zh-CN"/>
              </w:rPr>
            </w:pPr>
            <w:r>
              <w:rPr>
                <w:rFonts w:hint="eastAsia"/>
                <w:lang w:val="en-US" w:eastAsia="zh-CN"/>
              </w:rPr>
              <w:t>ES6.1.3/9.1.2</w:t>
            </w:r>
          </w:p>
        </w:tc>
        <w:tc>
          <w:tcPr>
            <w:tcW w:w="10004" w:type="dxa"/>
          </w:tcPr>
          <w:p>
            <w:pPr>
              <w:rPr>
                <w:rFonts w:hint="eastAsia"/>
                <w:lang w:val="en-US" w:eastAsia="zh-CN"/>
              </w:rPr>
            </w:pPr>
            <w:r>
              <w:rPr>
                <w:rFonts w:hint="eastAsia"/>
                <w:lang w:val="en-US" w:eastAsia="zh-CN"/>
              </w:rPr>
              <w:t>---策划有《法律、法规和其他要求识别管理程序》、《合规性评价程序》。</w:t>
            </w:r>
          </w:p>
          <w:p>
            <w:pPr>
              <w:pStyle w:val="2"/>
              <w:rPr>
                <w:rFonts w:hint="eastAsia"/>
                <w:lang w:val="en-US" w:eastAsia="zh-CN"/>
              </w:rPr>
            </w:pPr>
            <w:r>
              <w:rPr>
                <w:rFonts w:hint="eastAsia"/>
                <w:lang w:val="en-US" w:eastAsia="zh-CN"/>
              </w:rPr>
              <w:t>查“法 律 法 规 清 单(环境)”，共收集相关法规23项；包括：</w:t>
            </w:r>
          </w:p>
          <w:p>
            <w:pPr>
              <w:pStyle w:val="2"/>
              <w:rPr>
                <w:rFonts w:hint="default"/>
                <w:lang w:val="en-US" w:eastAsia="zh-CN"/>
              </w:rPr>
            </w:pPr>
            <w:r>
              <w:rPr>
                <w:rFonts w:hint="default"/>
                <w:lang w:val="en-US" w:eastAsia="zh-CN"/>
              </w:rPr>
              <w:object>
                <v:shape id="_x0000_i1027" o:spt="75" type="#_x0000_t75" style="height:139pt;width:489.3pt;" o:ole="t" filled="f" o:preferrelative="t" stroked="f" coordsize="21600,21600">
                  <v:path/>
                  <v:fill on="f" focussize="0,0"/>
                  <v:stroke on="f"/>
                  <v:imagedata r:id="rId7" o:title=""/>
                  <o:lock v:ext="edit" aspectratio="f"/>
                  <w10:wrap type="none"/>
                  <w10:anchorlock/>
                </v:shape>
                <o:OLEObject Type="Embed" ProgID="Word.Document.8" ShapeID="_x0000_i1027" DrawAspect="Content" ObjectID="_1468075725" r:id="rId6">
                  <o:LockedField>false</o:LockedField>
                </o:OLEObject>
              </w:object>
            </w:r>
          </w:p>
          <w:p>
            <w:pPr>
              <w:pStyle w:val="2"/>
              <w:rPr>
                <w:rFonts w:hint="eastAsia"/>
                <w:lang w:val="en-US" w:eastAsia="zh-CN"/>
              </w:rPr>
            </w:pPr>
            <w:r>
              <w:rPr>
                <w:rFonts w:hint="eastAsia"/>
                <w:lang w:val="en-US" w:eastAsia="zh-CN"/>
              </w:rPr>
              <w:t>查“职业健康安全法律法规和其他要求清单”，共收集相关法规14项；包括：</w:t>
            </w:r>
          </w:p>
          <w:p>
            <w:pPr>
              <w:pStyle w:val="2"/>
              <w:rPr>
                <w:rFonts w:hint="default"/>
                <w:lang w:val="en-US" w:eastAsia="zh-CN"/>
              </w:rPr>
            </w:pPr>
            <w:r>
              <w:rPr>
                <w:rFonts w:hint="default"/>
                <w:lang w:val="en-US" w:eastAsia="zh-CN"/>
              </w:rPr>
              <w:object>
                <v:shape id="_x0000_i1028" o:spt="75" type="#_x0000_t75" style="height:146.05pt;width:489.15pt;" o:ole="t" filled="f" o:preferrelative="t" stroked="f" coordsize="21600,21600">
                  <v:path/>
                  <v:fill on="f" focussize="0,0"/>
                  <v:stroke on="f"/>
                  <v:imagedata r:id="rId9" o:title=""/>
                  <o:lock v:ext="edit" aspectratio="f"/>
                  <w10:wrap type="none"/>
                  <w10:anchorlock/>
                </v:shape>
                <o:OLEObject Type="Embed" ProgID="Word.Document.8" ShapeID="_x0000_i1028" DrawAspect="Content" ObjectID="_1468075726" r:id="rId8">
                  <o:LockedField>false</o:LockedField>
                </o:OLEObject>
              </w:object>
            </w:r>
          </w:p>
          <w:p>
            <w:pPr>
              <w:pStyle w:val="2"/>
              <w:rPr>
                <w:rFonts w:hint="eastAsia"/>
                <w:lang w:val="en-US" w:eastAsia="zh-CN"/>
              </w:rPr>
            </w:pPr>
          </w:p>
          <w:p>
            <w:pPr>
              <w:pStyle w:val="2"/>
              <w:rPr>
                <w:rFonts w:hint="eastAsia"/>
                <w:lang w:val="en-US" w:eastAsia="zh-CN"/>
              </w:rPr>
            </w:pPr>
            <w:r>
              <w:rPr>
                <w:rFonts w:hint="eastAsia"/>
                <w:lang w:val="en-US" w:eastAsia="zh-CN"/>
              </w:rPr>
              <w:t>查“职业健康安全法律法规合规性评价表”，2022.</w:t>
            </w:r>
            <w:r>
              <w:rPr>
                <w:rFonts w:hint="eastAsia" w:cs="Times New Roman"/>
                <w:lang w:val="en-US" w:eastAsia="zh-CN"/>
              </w:rPr>
              <w:t>6.9.评价人：赵阳 权晓毅、郭军涛；对收</w:t>
            </w:r>
            <w:r>
              <w:rPr>
                <w:rFonts w:hint="eastAsia"/>
                <w:lang w:val="en-US" w:eastAsia="zh-CN"/>
              </w:rPr>
              <w:t>集相关法规14项的适用性条款进行了符合性的评价；包括：</w:t>
            </w:r>
          </w:p>
          <w:p>
            <w:pPr>
              <w:pStyle w:val="2"/>
              <w:rPr>
                <w:rFonts w:hint="default"/>
                <w:lang w:val="en-US" w:eastAsia="zh-CN"/>
              </w:rPr>
            </w:pPr>
            <w:r>
              <w:rPr>
                <w:rFonts w:hint="default"/>
                <w:lang w:val="en-US" w:eastAsia="zh-CN"/>
              </w:rPr>
              <w:object>
                <v:shape id="_x0000_i1026" o:spt="75" type="#_x0000_t75" style="height:143.35pt;width:488.9pt;" o:ole="t" filled="f" o:preferrelative="t" stroked="f" coordsize="21600,21600">
                  <v:path/>
                  <v:fill on="f" focussize="0,0"/>
                  <v:stroke on="f"/>
                  <v:imagedata r:id="rId11" o:title=""/>
                  <o:lock v:ext="edit" aspectratio="f"/>
                  <w10:wrap type="none"/>
                  <w10:anchorlock/>
                </v:shape>
                <o:OLEObject Type="Embed" ProgID="Word.Document.8" ShapeID="_x0000_i1026" DrawAspect="Content" ObjectID="_1468075727" r:id="rId10">
                  <o:LockedField>false</o:LockedField>
                </o:OLEObject>
              </w:object>
            </w:r>
          </w:p>
          <w:p>
            <w:pPr>
              <w:pStyle w:val="2"/>
              <w:rPr>
                <w:rFonts w:hint="eastAsia" w:cs="Times New Roman"/>
                <w:lang w:val="en-US" w:eastAsia="zh-CN"/>
              </w:rPr>
            </w:pPr>
            <w:r>
              <w:rPr>
                <w:rFonts w:hint="eastAsia"/>
                <w:lang w:val="en-US" w:eastAsia="zh-CN"/>
              </w:rPr>
              <w:t>查“合规性评价报告”2022.</w:t>
            </w:r>
            <w:r>
              <w:rPr>
                <w:rFonts w:hint="eastAsia" w:cs="Times New Roman"/>
                <w:lang w:val="en-US" w:eastAsia="zh-CN"/>
              </w:rPr>
              <w:t>6.9.评价人：赵阳 权晓毅；</w:t>
            </w:r>
          </w:p>
          <w:p>
            <w:pPr>
              <w:pStyle w:val="2"/>
              <w:rPr>
                <w:rFonts w:hint="eastAsia" w:cs="Times New Roman"/>
                <w:lang w:val="en-US" w:eastAsia="zh-CN"/>
              </w:rPr>
            </w:pPr>
            <w:r>
              <w:rPr>
                <w:rFonts w:hint="eastAsia" w:cs="Times New Roman"/>
                <w:lang w:val="en-US" w:eastAsia="zh-CN"/>
              </w:rPr>
              <w:t>结论：</w:t>
            </w:r>
          </w:p>
          <w:p>
            <w:pPr>
              <w:pStyle w:val="2"/>
              <w:rPr>
                <w:rFonts w:hint="eastAsia" w:cs="Times New Roman"/>
                <w:lang w:val="en-US" w:eastAsia="zh-CN"/>
              </w:rPr>
            </w:pPr>
            <w:r>
              <w:rPr>
                <w:rFonts w:hint="eastAsia" w:cs="Times New Roman"/>
                <w:lang w:val="en-US" w:eastAsia="zh-CN"/>
              </w:rPr>
              <w:t>以上各法规和标准的评价和标准的落实方面在《合规性评价表》中予以了具体阐述。总体上说。我公司遵守了国家的各项法律法规和标准（特别是强制性标准），在杜绝污染，节约能源、资源方面取得了一定绩效，至今未发生环境、安全事故。</w:t>
            </w:r>
          </w:p>
          <w:p>
            <w:pPr>
              <w:pStyle w:val="2"/>
              <w:rPr>
                <w:rFonts w:hint="default" w:cs="Times New Roman"/>
                <w:lang w:val="en-US" w:eastAsia="zh-CN"/>
              </w:rPr>
            </w:pPr>
            <w:r>
              <w:rPr>
                <w:rFonts w:hint="eastAsia" w:cs="Times New Roman"/>
                <w:lang w:val="en-US" w:eastAsia="zh-CN"/>
              </w:rPr>
              <w:t>——基本符合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sz w:val="21"/>
                <w:szCs w:val="21"/>
                <w:lang w:val="en-US" w:eastAsia="zh-CN"/>
              </w:rPr>
              <w:t>目标管理</w:t>
            </w:r>
          </w:p>
        </w:tc>
        <w:tc>
          <w:tcPr>
            <w:tcW w:w="960" w:type="dxa"/>
          </w:tcPr>
          <w:p>
            <w:r>
              <w:rPr>
                <w:rFonts w:hint="eastAsia"/>
                <w:sz w:val="21"/>
                <w:szCs w:val="21"/>
                <w:lang w:val="en-US" w:eastAsia="zh-CN"/>
              </w:rPr>
              <w:t>QES6.2</w:t>
            </w:r>
          </w:p>
        </w:tc>
        <w:tc>
          <w:tcPr>
            <w:tcW w:w="10004" w:type="dxa"/>
          </w:tcPr>
          <w:p>
            <w:pPr>
              <w:pStyle w:val="2"/>
              <w:spacing w:line="240" w:lineRule="auto"/>
              <w:rPr>
                <w:rFonts w:hint="default" w:ascii="Calibri" w:hAnsi="Calibri" w:eastAsia="宋体" w:cs="Times New Roman"/>
                <w:kern w:val="2"/>
                <w:sz w:val="21"/>
                <w:szCs w:val="21"/>
                <w:lang w:val="en-US" w:eastAsia="zh-CN" w:bidi="ar-SA"/>
              </w:rPr>
            </w:pPr>
            <w:r>
              <w:rPr>
                <w:rFonts w:hint="eastAsia" w:ascii="Calibri" w:hAnsi="Calibri" w:cs="Times New Roman"/>
                <w:kern w:val="2"/>
                <w:sz w:val="21"/>
                <w:szCs w:val="21"/>
                <w:lang w:val="en-US" w:eastAsia="zh-CN" w:bidi="ar-SA"/>
              </w:rPr>
              <w:t>---</w:t>
            </w:r>
            <w:r>
              <w:rPr>
                <w:rFonts w:hint="eastAsia" w:ascii="Calibri" w:hAnsi="Calibri" w:eastAsia="宋体" w:cs="Times New Roman"/>
                <w:kern w:val="2"/>
                <w:sz w:val="21"/>
                <w:szCs w:val="21"/>
                <w:lang w:val="en-US" w:eastAsia="zh-CN" w:bidi="ar-SA"/>
              </w:rPr>
              <w:t>制订有“质量、环境和职业健康安全目标指标分解及措施表”</w:t>
            </w:r>
            <w:r>
              <w:rPr>
                <w:rFonts w:hint="eastAsia" w:ascii="Calibri" w:hAnsi="Calibri" w:cs="Times New Roman"/>
                <w:kern w:val="2"/>
                <w:sz w:val="21"/>
                <w:szCs w:val="21"/>
                <w:lang w:val="en-US" w:eastAsia="zh-CN" w:bidi="ar-SA"/>
              </w:rPr>
              <w:t>，本部门主控。</w:t>
            </w:r>
          </w:p>
          <w:p>
            <w:pPr>
              <w:pStyle w:val="2"/>
              <w:spacing w:line="240" w:lineRule="auto"/>
              <w:rPr>
                <w:rFonts w:hint="eastAsia" w:ascii="Calibri" w:hAnsi="Calibri" w:eastAsia="宋体" w:cs="Times New Roman"/>
                <w:kern w:val="2"/>
                <w:sz w:val="21"/>
                <w:szCs w:val="21"/>
                <w:lang w:val="en-US" w:eastAsia="zh-CN" w:bidi="ar-SA"/>
              </w:rPr>
            </w:pPr>
            <w:r>
              <w:rPr>
                <w:rFonts w:hint="eastAsia" w:ascii="Calibri" w:hAnsi="Calibri" w:cs="Times New Roman"/>
                <w:kern w:val="2"/>
                <w:sz w:val="21"/>
                <w:szCs w:val="21"/>
                <w:lang w:val="en-US" w:eastAsia="zh-CN" w:bidi="ar-SA"/>
              </w:rPr>
              <w:t>公司目标</w:t>
            </w:r>
            <w:r>
              <w:rPr>
                <w:rFonts w:hint="eastAsia" w:ascii="Calibri" w:hAnsi="Calibri" w:eastAsia="宋体" w:cs="Times New Roman"/>
                <w:kern w:val="2"/>
                <w:sz w:val="21"/>
                <w:szCs w:val="21"/>
                <w:lang w:val="en-US" w:eastAsia="zh-CN" w:bidi="ar-SA"/>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087"/>
              <w:gridCol w:w="2421"/>
              <w:gridCol w:w="747"/>
              <w:gridCol w:w="2690"/>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909"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lang w:val="en-US" w:eastAsia="zh-CN"/>
                    </w:rPr>
                    <w:t>管理层</w:t>
                  </w:r>
                </w:p>
              </w:tc>
              <w:tc>
                <w:tcPr>
                  <w:tcW w:w="2087"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固体废弃物有效处置率100%</w:t>
                  </w:r>
                </w:p>
              </w:tc>
              <w:tc>
                <w:tcPr>
                  <w:tcW w:w="2421"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制定并实施专项管理方案</w:t>
                  </w:r>
                </w:p>
              </w:tc>
              <w:tc>
                <w:tcPr>
                  <w:tcW w:w="747"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年底</w:t>
                  </w:r>
                </w:p>
              </w:tc>
              <w:tc>
                <w:tcPr>
                  <w:tcW w:w="2690" w:type="dxa"/>
                  <w:noWrap w:val="0"/>
                  <w:vAlign w:val="top"/>
                </w:tcPr>
                <w:p>
                  <w:pPr>
                    <w:spacing w:line="0" w:lineRule="atLeast"/>
                    <w:rPr>
                      <w:rFonts w:hint="eastAsia" w:ascii="宋体" w:hAnsi="宋体"/>
                      <w:bCs/>
                      <w:color w:val="000000"/>
                      <w:szCs w:val="21"/>
                    </w:rPr>
                  </w:pPr>
                  <w:r>
                    <w:rPr>
                      <w:rFonts w:hint="eastAsia" w:ascii="宋体" w:hAnsi="宋体"/>
                      <w:bCs/>
                      <w:color w:val="000000"/>
                      <w:szCs w:val="21"/>
                    </w:rPr>
                    <w:t>固体废弃物有效处置率=固体废弃物有效处置数÷固体废物总数×100%。</w:t>
                  </w:r>
                </w:p>
              </w:tc>
              <w:tc>
                <w:tcPr>
                  <w:tcW w:w="782"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 w:hRule="atLeast"/>
                <w:jc w:val="center"/>
              </w:trPr>
              <w:tc>
                <w:tcPr>
                  <w:tcW w:w="909"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lang w:val="en-US" w:eastAsia="zh-CN"/>
                    </w:rPr>
                    <w:t>管理层</w:t>
                  </w:r>
                </w:p>
              </w:tc>
              <w:tc>
                <w:tcPr>
                  <w:tcW w:w="2087"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火灾发生率0</w:t>
                  </w:r>
                </w:p>
              </w:tc>
              <w:tc>
                <w:tcPr>
                  <w:tcW w:w="2421" w:type="dxa"/>
                  <w:noWrap w:val="0"/>
                  <w:vAlign w:val="top"/>
                </w:tcPr>
                <w:p>
                  <w:r>
                    <w:rPr>
                      <w:rFonts w:hint="eastAsia" w:ascii="宋体" w:hAnsi="宋体"/>
                      <w:bCs/>
                      <w:color w:val="000000"/>
                      <w:szCs w:val="21"/>
                    </w:rPr>
                    <w:t>制定并实施专项管理方案</w:t>
                  </w:r>
                </w:p>
              </w:tc>
              <w:tc>
                <w:tcPr>
                  <w:tcW w:w="747"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年底</w:t>
                  </w:r>
                </w:p>
              </w:tc>
              <w:tc>
                <w:tcPr>
                  <w:tcW w:w="2690"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查看火灾触电事故台账。</w:t>
                  </w:r>
                </w:p>
              </w:tc>
              <w:tc>
                <w:tcPr>
                  <w:tcW w:w="782"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 w:hRule="atLeast"/>
                <w:jc w:val="center"/>
              </w:trPr>
              <w:tc>
                <w:tcPr>
                  <w:tcW w:w="909"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lang w:val="en-US" w:eastAsia="zh-CN"/>
                    </w:rPr>
                    <w:t>管理层</w:t>
                  </w:r>
                </w:p>
              </w:tc>
              <w:tc>
                <w:tcPr>
                  <w:tcW w:w="2087"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触电事故发生率0</w:t>
                  </w:r>
                </w:p>
              </w:tc>
              <w:tc>
                <w:tcPr>
                  <w:tcW w:w="2421" w:type="dxa"/>
                  <w:noWrap w:val="0"/>
                  <w:vAlign w:val="top"/>
                </w:tcPr>
                <w:p>
                  <w:r>
                    <w:rPr>
                      <w:rFonts w:hint="eastAsia" w:ascii="宋体" w:hAnsi="宋体"/>
                      <w:bCs/>
                      <w:color w:val="000000"/>
                      <w:szCs w:val="21"/>
                    </w:rPr>
                    <w:t>制定并实施专项管理方案</w:t>
                  </w:r>
                </w:p>
              </w:tc>
              <w:tc>
                <w:tcPr>
                  <w:tcW w:w="747"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年底</w:t>
                  </w:r>
                </w:p>
              </w:tc>
              <w:tc>
                <w:tcPr>
                  <w:tcW w:w="2690"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查看人伤害事故台账</w:t>
                  </w:r>
                </w:p>
              </w:tc>
              <w:tc>
                <w:tcPr>
                  <w:tcW w:w="782"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 w:hRule="atLeast"/>
                <w:jc w:val="center"/>
              </w:trPr>
              <w:tc>
                <w:tcPr>
                  <w:tcW w:w="909"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lang w:val="en-US" w:eastAsia="zh-CN"/>
                    </w:rPr>
                    <w:t>管理层</w:t>
                  </w:r>
                </w:p>
              </w:tc>
              <w:tc>
                <w:tcPr>
                  <w:tcW w:w="2087"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人身伤害发生率0</w:t>
                  </w:r>
                </w:p>
              </w:tc>
              <w:tc>
                <w:tcPr>
                  <w:tcW w:w="2421" w:type="dxa"/>
                  <w:noWrap w:val="0"/>
                  <w:vAlign w:val="top"/>
                </w:tcPr>
                <w:p>
                  <w:r>
                    <w:rPr>
                      <w:rFonts w:hint="eastAsia" w:ascii="宋体" w:hAnsi="宋体"/>
                      <w:bCs/>
                      <w:color w:val="000000"/>
                      <w:szCs w:val="21"/>
                    </w:rPr>
                    <w:t>制定并实施专项管理方案</w:t>
                  </w:r>
                </w:p>
              </w:tc>
              <w:tc>
                <w:tcPr>
                  <w:tcW w:w="747"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年底</w:t>
                  </w:r>
                </w:p>
              </w:tc>
              <w:tc>
                <w:tcPr>
                  <w:tcW w:w="2690"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查看人伤害事故台账</w:t>
                  </w:r>
                </w:p>
              </w:tc>
              <w:tc>
                <w:tcPr>
                  <w:tcW w:w="782"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半年</w:t>
                  </w:r>
                </w:p>
              </w:tc>
            </w:tr>
          </w:tbl>
          <w:p>
            <w:pPr>
              <w:pStyle w:val="2"/>
              <w:spacing w:line="240" w:lineRule="auto"/>
              <w:rPr>
                <w:rFonts w:hint="default" w:ascii="Calibri" w:hAnsi="Calibri" w:eastAsia="宋体" w:cs="Times New Roman"/>
                <w:kern w:val="2"/>
                <w:sz w:val="21"/>
                <w:szCs w:val="21"/>
                <w:lang w:val="en-US" w:eastAsia="zh-CN" w:bidi="ar-SA"/>
              </w:rPr>
            </w:pPr>
          </w:p>
          <w:p>
            <w:pPr>
              <w:pStyle w:val="2"/>
              <w:spacing w:line="240" w:lineRule="auto"/>
              <w:rPr>
                <w:rFonts w:hint="eastAsia" w:ascii="Calibri" w:hAnsi="Calibri" w:cs="Times New Roman"/>
                <w:kern w:val="2"/>
                <w:sz w:val="21"/>
                <w:szCs w:val="21"/>
                <w:lang w:val="en-US" w:eastAsia="zh-CN" w:bidi="ar-SA"/>
              </w:rPr>
            </w:pPr>
            <w:r>
              <w:rPr>
                <w:rFonts w:hint="eastAsia" w:ascii="Calibri" w:hAnsi="Calibri" w:cs="Times New Roman"/>
                <w:kern w:val="2"/>
                <w:sz w:val="21"/>
                <w:szCs w:val="21"/>
                <w:lang w:val="en-US" w:eastAsia="zh-CN" w:bidi="ar-SA"/>
              </w:rPr>
              <w:t>查部门分解目标：</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2109"/>
              <w:gridCol w:w="2446"/>
              <w:gridCol w:w="755"/>
              <w:gridCol w:w="2718"/>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918" w:type="dxa"/>
                  <w:noWrap w:val="0"/>
                  <w:vAlign w:val="center"/>
                </w:tcPr>
                <w:p>
                  <w:pPr>
                    <w:spacing w:line="0" w:lineRule="atLeast"/>
                    <w:rPr>
                      <w:rFonts w:hint="eastAsia" w:ascii="宋体" w:hAnsi="宋体" w:eastAsia="宋体"/>
                      <w:bCs/>
                      <w:color w:val="000000"/>
                      <w:szCs w:val="21"/>
                      <w:lang w:val="en-US" w:eastAsia="zh-CN"/>
                    </w:rPr>
                  </w:pPr>
                  <w:r>
                    <w:rPr>
                      <w:rFonts w:hint="eastAsia" w:ascii="宋体" w:hAnsi="宋体"/>
                      <w:bCs/>
                      <w:color w:val="000000"/>
                      <w:szCs w:val="21"/>
                      <w:lang w:val="en-US" w:eastAsia="zh-CN"/>
                    </w:rPr>
                    <w:t>综合部</w:t>
                  </w:r>
                </w:p>
              </w:tc>
              <w:tc>
                <w:tcPr>
                  <w:tcW w:w="2109"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培训计划完成率100%</w:t>
                  </w:r>
                </w:p>
              </w:tc>
              <w:tc>
                <w:tcPr>
                  <w:tcW w:w="2446"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制定并实施《人力资源控制程序》</w:t>
                  </w:r>
                </w:p>
              </w:tc>
              <w:tc>
                <w:tcPr>
                  <w:tcW w:w="755"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年底</w:t>
                  </w:r>
                </w:p>
              </w:tc>
              <w:tc>
                <w:tcPr>
                  <w:tcW w:w="2718"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培训计划完成率=实际培训次数÷计划培训次数×100%。</w:t>
                  </w:r>
                </w:p>
              </w:tc>
              <w:tc>
                <w:tcPr>
                  <w:tcW w:w="791"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918"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lang w:val="en-US" w:eastAsia="zh-CN"/>
                    </w:rPr>
                    <w:t>综合部</w:t>
                  </w:r>
                </w:p>
              </w:tc>
              <w:tc>
                <w:tcPr>
                  <w:tcW w:w="2109"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培训合格率100%</w:t>
                  </w:r>
                </w:p>
              </w:tc>
              <w:tc>
                <w:tcPr>
                  <w:tcW w:w="2446"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制定并实施《人力资源控制程序》</w:t>
                  </w:r>
                </w:p>
              </w:tc>
              <w:tc>
                <w:tcPr>
                  <w:tcW w:w="755"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年底</w:t>
                  </w:r>
                </w:p>
              </w:tc>
              <w:tc>
                <w:tcPr>
                  <w:tcW w:w="2718"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培训合格率=培训合格人数÷参加培训人数×100%。</w:t>
                  </w:r>
                </w:p>
              </w:tc>
              <w:tc>
                <w:tcPr>
                  <w:tcW w:w="791"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918"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lang w:val="en-US" w:eastAsia="zh-CN"/>
                    </w:rPr>
                    <w:t>综合部</w:t>
                  </w:r>
                </w:p>
              </w:tc>
              <w:tc>
                <w:tcPr>
                  <w:tcW w:w="2109"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文件化信息受控率100%</w:t>
                  </w:r>
                </w:p>
              </w:tc>
              <w:tc>
                <w:tcPr>
                  <w:tcW w:w="2446"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制定并实施《文件控制程序》、《记录控制程序》</w:t>
                  </w:r>
                </w:p>
              </w:tc>
              <w:tc>
                <w:tcPr>
                  <w:tcW w:w="755"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年底</w:t>
                  </w:r>
                </w:p>
              </w:tc>
              <w:tc>
                <w:tcPr>
                  <w:tcW w:w="2718"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受控率=受控个数÷所有个数×100%。</w:t>
                  </w:r>
                </w:p>
              </w:tc>
              <w:tc>
                <w:tcPr>
                  <w:tcW w:w="791"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918"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lang w:val="en-US" w:eastAsia="zh-CN"/>
                    </w:rPr>
                    <w:t>综合部</w:t>
                  </w:r>
                </w:p>
              </w:tc>
              <w:tc>
                <w:tcPr>
                  <w:tcW w:w="2109"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固体废弃物有效处置率100%</w:t>
                  </w:r>
                </w:p>
              </w:tc>
              <w:tc>
                <w:tcPr>
                  <w:tcW w:w="2446" w:type="dxa"/>
                  <w:noWrap w:val="0"/>
                  <w:vAlign w:val="top"/>
                </w:tcPr>
                <w:p>
                  <w:r>
                    <w:rPr>
                      <w:rFonts w:hint="eastAsia" w:ascii="宋体" w:hAnsi="宋体"/>
                      <w:bCs/>
                      <w:color w:val="000000"/>
                      <w:szCs w:val="21"/>
                    </w:rPr>
                    <w:t>制定并实施专项管理方案</w:t>
                  </w:r>
                </w:p>
              </w:tc>
              <w:tc>
                <w:tcPr>
                  <w:tcW w:w="755"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年底</w:t>
                  </w:r>
                </w:p>
              </w:tc>
              <w:tc>
                <w:tcPr>
                  <w:tcW w:w="2718" w:type="dxa"/>
                  <w:noWrap w:val="0"/>
                  <w:vAlign w:val="top"/>
                </w:tcPr>
                <w:p>
                  <w:pPr>
                    <w:spacing w:line="0" w:lineRule="atLeast"/>
                    <w:rPr>
                      <w:rFonts w:hint="eastAsia" w:ascii="宋体" w:hAnsi="宋体"/>
                      <w:bCs/>
                      <w:color w:val="000000"/>
                      <w:szCs w:val="21"/>
                    </w:rPr>
                  </w:pPr>
                  <w:r>
                    <w:rPr>
                      <w:rFonts w:hint="eastAsia" w:ascii="宋体" w:hAnsi="宋体"/>
                      <w:bCs/>
                      <w:color w:val="000000"/>
                      <w:szCs w:val="21"/>
                    </w:rPr>
                    <w:t>固体废弃物有效处置率=固体废弃物有效处置数÷固体废物总数×100%。</w:t>
                  </w:r>
                </w:p>
              </w:tc>
              <w:tc>
                <w:tcPr>
                  <w:tcW w:w="791"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18"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lang w:val="en-US" w:eastAsia="zh-CN"/>
                    </w:rPr>
                    <w:t>综合部</w:t>
                  </w:r>
                </w:p>
              </w:tc>
              <w:tc>
                <w:tcPr>
                  <w:tcW w:w="2109"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火灾发生率0</w:t>
                  </w:r>
                </w:p>
              </w:tc>
              <w:tc>
                <w:tcPr>
                  <w:tcW w:w="2446" w:type="dxa"/>
                  <w:noWrap w:val="0"/>
                  <w:vAlign w:val="top"/>
                </w:tcPr>
                <w:p>
                  <w:r>
                    <w:rPr>
                      <w:rFonts w:hint="eastAsia" w:ascii="宋体" w:hAnsi="宋体"/>
                      <w:bCs/>
                      <w:color w:val="000000"/>
                      <w:szCs w:val="21"/>
                    </w:rPr>
                    <w:t>制定并实施专项管理方案</w:t>
                  </w:r>
                </w:p>
              </w:tc>
              <w:tc>
                <w:tcPr>
                  <w:tcW w:w="755"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年底</w:t>
                  </w:r>
                </w:p>
              </w:tc>
              <w:tc>
                <w:tcPr>
                  <w:tcW w:w="2718"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查看火灾触电事故台账。</w:t>
                  </w:r>
                </w:p>
              </w:tc>
              <w:tc>
                <w:tcPr>
                  <w:tcW w:w="791"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半年</w:t>
                  </w:r>
                </w:p>
              </w:tc>
            </w:tr>
          </w:tbl>
          <w:p>
            <w:pPr>
              <w:pStyle w:val="2"/>
              <w:spacing w:line="240" w:lineRule="auto"/>
              <w:rPr>
                <w:rFonts w:hint="default" w:ascii="Calibri" w:hAnsi="Calibri" w:cs="Times New Roman"/>
                <w:kern w:val="2"/>
                <w:sz w:val="21"/>
                <w:szCs w:val="21"/>
                <w:lang w:val="en-US" w:eastAsia="zh-CN" w:bidi="ar-SA"/>
              </w:rPr>
            </w:pPr>
          </w:p>
          <w:p>
            <w:pPr>
              <w:rPr>
                <w:rFonts w:hint="default" w:ascii="宋体" w:hAnsi="宋体" w:eastAsia="宋体"/>
                <w:szCs w:val="21"/>
                <w:lang w:val="en-US" w:eastAsia="zh-CN"/>
              </w:rPr>
            </w:pPr>
            <w:r>
              <w:rPr>
                <w:rFonts w:hint="eastAsia" w:ascii="Calibri" w:hAnsi="Calibri" w:cs="Times New Roman"/>
                <w:kern w:val="2"/>
                <w:sz w:val="21"/>
                <w:szCs w:val="21"/>
                <w:lang w:val="en-US" w:eastAsia="zh-CN" w:bidi="ar-SA"/>
              </w:rPr>
              <w:t>查“质量、环境和职业健康安全目标指标考核表”</w:t>
            </w:r>
            <w:r>
              <w:rPr>
                <w:rFonts w:hint="eastAsia" w:ascii="宋体" w:hAnsi="宋体"/>
                <w:szCs w:val="21"/>
              </w:rPr>
              <w:t>考核人：</w:t>
            </w:r>
            <w:r>
              <w:rPr>
                <w:rFonts w:hint="eastAsia" w:ascii="宋体" w:hAnsi="宋体"/>
                <w:szCs w:val="21"/>
                <w:lang w:val="en-US" w:eastAsia="zh-CN"/>
              </w:rPr>
              <w:t>权晓毅  赵阳</w:t>
            </w:r>
            <w:r>
              <w:rPr>
                <w:rFonts w:hint="eastAsia" w:ascii="宋体" w:hAnsi="宋体"/>
                <w:szCs w:val="21"/>
              </w:rPr>
              <w:t xml:space="preserve">   考核日期：202</w:t>
            </w:r>
            <w:r>
              <w:rPr>
                <w:rFonts w:hint="eastAsia" w:ascii="宋体" w:hAnsi="宋体"/>
                <w:szCs w:val="21"/>
                <w:lang w:val="en-US" w:eastAsia="zh-CN"/>
              </w:rPr>
              <w:t>2</w:t>
            </w:r>
            <w:r>
              <w:rPr>
                <w:rFonts w:hint="eastAsia" w:ascii="宋体" w:hAnsi="宋体"/>
                <w:szCs w:val="21"/>
              </w:rPr>
              <w:t>.</w:t>
            </w:r>
            <w:r>
              <w:rPr>
                <w:rFonts w:hint="eastAsia" w:ascii="宋体" w:hAnsi="宋体"/>
                <w:szCs w:val="21"/>
                <w:lang w:val="en-US" w:eastAsia="zh-CN"/>
              </w:rPr>
              <w:t>6.9；内容显示公司及部门目标均已达成。</w:t>
            </w:r>
          </w:p>
          <w:tbl>
            <w:tblPr>
              <w:tblStyle w:val="6"/>
              <w:tblW w:w="0" w:type="auto"/>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3544"/>
              <w:gridCol w:w="212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59"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lang w:val="en-US" w:eastAsia="zh-CN"/>
                    </w:rPr>
                    <w:t>管理层</w:t>
                  </w:r>
                </w:p>
              </w:tc>
              <w:tc>
                <w:tcPr>
                  <w:tcW w:w="3544"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固体废弃物有效处置率100%</w:t>
                  </w:r>
                </w:p>
              </w:tc>
              <w:tc>
                <w:tcPr>
                  <w:tcW w:w="2126" w:type="dxa"/>
                  <w:noWrap w:val="0"/>
                  <w:vAlign w:val="center"/>
                </w:tcPr>
                <w:p>
                  <w:pPr>
                    <w:spacing w:line="0" w:lineRule="atLeast"/>
                    <w:jc w:val="center"/>
                    <w:rPr>
                      <w:rFonts w:hint="eastAsia" w:ascii="宋体" w:hAnsi="宋体"/>
                      <w:bCs/>
                      <w:color w:val="000000"/>
                      <w:szCs w:val="21"/>
                    </w:rPr>
                  </w:pPr>
                  <w:r>
                    <w:rPr>
                      <w:rFonts w:hint="eastAsia" w:ascii="宋体" w:hAnsi="宋体"/>
                      <w:bCs/>
                      <w:color w:val="000000"/>
                      <w:szCs w:val="21"/>
                    </w:rPr>
                    <w:t>100%</w:t>
                  </w:r>
                </w:p>
              </w:tc>
              <w:tc>
                <w:tcPr>
                  <w:tcW w:w="850" w:type="dxa"/>
                  <w:noWrap w:val="0"/>
                  <w:vAlign w:val="center"/>
                </w:tcPr>
                <w:p>
                  <w:pPr>
                    <w:spacing w:line="0" w:lineRule="atLeast"/>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59"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lang w:val="en-US" w:eastAsia="zh-CN"/>
                    </w:rPr>
                    <w:t>管理层</w:t>
                  </w:r>
                </w:p>
              </w:tc>
              <w:tc>
                <w:tcPr>
                  <w:tcW w:w="3544"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火灾发生率0</w:t>
                  </w:r>
                </w:p>
              </w:tc>
              <w:tc>
                <w:tcPr>
                  <w:tcW w:w="2126" w:type="dxa"/>
                  <w:noWrap w:val="0"/>
                  <w:vAlign w:val="center"/>
                </w:tcPr>
                <w:p>
                  <w:pPr>
                    <w:spacing w:line="0" w:lineRule="atLeast"/>
                    <w:jc w:val="center"/>
                    <w:rPr>
                      <w:rFonts w:hint="eastAsia" w:ascii="宋体" w:hAnsi="宋体"/>
                      <w:bCs/>
                      <w:color w:val="000000"/>
                      <w:szCs w:val="21"/>
                    </w:rPr>
                  </w:pPr>
                  <w:r>
                    <w:rPr>
                      <w:rFonts w:hint="eastAsia" w:ascii="宋体" w:hAnsi="宋体"/>
                      <w:bCs/>
                      <w:color w:val="000000"/>
                      <w:szCs w:val="21"/>
                    </w:rPr>
                    <w:t>0</w:t>
                  </w:r>
                </w:p>
              </w:tc>
              <w:tc>
                <w:tcPr>
                  <w:tcW w:w="850" w:type="dxa"/>
                  <w:noWrap w:val="0"/>
                  <w:vAlign w:val="center"/>
                </w:tcPr>
                <w:p>
                  <w:pPr>
                    <w:spacing w:line="0" w:lineRule="atLeast"/>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59"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lang w:val="en-US" w:eastAsia="zh-CN"/>
                    </w:rPr>
                    <w:t>管理层</w:t>
                  </w:r>
                </w:p>
              </w:tc>
              <w:tc>
                <w:tcPr>
                  <w:tcW w:w="3544"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触电事故发生率0</w:t>
                  </w:r>
                </w:p>
              </w:tc>
              <w:tc>
                <w:tcPr>
                  <w:tcW w:w="2126" w:type="dxa"/>
                  <w:noWrap w:val="0"/>
                  <w:vAlign w:val="center"/>
                </w:tcPr>
                <w:p>
                  <w:pPr>
                    <w:spacing w:line="0" w:lineRule="atLeast"/>
                    <w:jc w:val="center"/>
                    <w:rPr>
                      <w:rFonts w:hint="eastAsia" w:ascii="宋体" w:hAnsi="宋体"/>
                      <w:bCs/>
                      <w:color w:val="000000"/>
                      <w:szCs w:val="21"/>
                    </w:rPr>
                  </w:pPr>
                  <w:r>
                    <w:rPr>
                      <w:rFonts w:hint="eastAsia" w:ascii="宋体" w:hAnsi="宋体"/>
                      <w:bCs/>
                      <w:color w:val="000000"/>
                      <w:szCs w:val="21"/>
                    </w:rPr>
                    <w:t>0</w:t>
                  </w:r>
                </w:p>
              </w:tc>
              <w:tc>
                <w:tcPr>
                  <w:tcW w:w="850" w:type="dxa"/>
                  <w:noWrap w:val="0"/>
                  <w:vAlign w:val="center"/>
                </w:tcPr>
                <w:p>
                  <w:pPr>
                    <w:spacing w:line="0" w:lineRule="atLeast"/>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59"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lang w:val="en-US" w:eastAsia="zh-CN"/>
                    </w:rPr>
                    <w:t>管理层</w:t>
                  </w:r>
                </w:p>
              </w:tc>
              <w:tc>
                <w:tcPr>
                  <w:tcW w:w="3544"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人身伤害发生率0</w:t>
                  </w:r>
                </w:p>
              </w:tc>
              <w:tc>
                <w:tcPr>
                  <w:tcW w:w="2126" w:type="dxa"/>
                  <w:noWrap w:val="0"/>
                  <w:vAlign w:val="center"/>
                </w:tcPr>
                <w:p>
                  <w:pPr>
                    <w:spacing w:line="0" w:lineRule="atLeast"/>
                    <w:jc w:val="center"/>
                    <w:rPr>
                      <w:rFonts w:hint="eastAsia" w:ascii="宋体" w:hAnsi="宋体"/>
                      <w:bCs/>
                      <w:color w:val="000000"/>
                      <w:szCs w:val="21"/>
                    </w:rPr>
                  </w:pPr>
                  <w:r>
                    <w:rPr>
                      <w:rFonts w:hint="eastAsia" w:ascii="宋体" w:hAnsi="宋体"/>
                      <w:bCs/>
                      <w:color w:val="000000"/>
                      <w:szCs w:val="21"/>
                    </w:rPr>
                    <w:t>0</w:t>
                  </w:r>
                </w:p>
              </w:tc>
              <w:tc>
                <w:tcPr>
                  <w:tcW w:w="850" w:type="dxa"/>
                  <w:noWrap w:val="0"/>
                  <w:vAlign w:val="center"/>
                </w:tcPr>
                <w:p>
                  <w:pPr>
                    <w:spacing w:line="0" w:lineRule="atLeast"/>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59" w:type="dxa"/>
                  <w:noWrap w:val="0"/>
                  <w:vAlign w:val="center"/>
                </w:tcPr>
                <w:p>
                  <w:pPr>
                    <w:spacing w:line="0" w:lineRule="atLeast"/>
                    <w:rPr>
                      <w:rFonts w:hint="default" w:ascii="宋体" w:hAnsi="宋体" w:eastAsia="宋体"/>
                      <w:bCs/>
                      <w:color w:val="000000"/>
                      <w:szCs w:val="21"/>
                      <w:lang w:val="en-US" w:eastAsia="zh-CN"/>
                    </w:rPr>
                  </w:pPr>
                  <w:r>
                    <w:rPr>
                      <w:rFonts w:hint="eastAsia" w:ascii="宋体" w:hAnsi="宋体"/>
                      <w:bCs/>
                      <w:color w:val="000000"/>
                      <w:szCs w:val="21"/>
                      <w:lang w:val="en-US" w:eastAsia="zh-CN"/>
                    </w:rPr>
                    <w:t>综合部</w:t>
                  </w:r>
                </w:p>
              </w:tc>
              <w:tc>
                <w:tcPr>
                  <w:tcW w:w="3544"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培训计划完成率100%</w:t>
                  </w:r>
                </w:p>
              </w:tc>
              <w:tc>
                <w:tcPr>
                  <w:tcW w:w="2126" w:type="dxa"/>
                  <w:noWrap w:val="0"/>
                  <w:vAlign w:val="center"/>
                </w:tcPr>
                <w:p>
                  <w:pPr>
                    <w:spacing w:line="0" w:lineRule="atLeast"/>
                    <w:jc w:val="center"/>
                    <w:rPr>
                      <w:rFonts w:hint="eastAsia" w:ascii="宋体" w:hAnsi="宋体"/>
                      <w:bCs/>
                      <w:color w:val="000000"/>
                      <w:szCs w:val="21"/>
                    </w:rPr>
                  </w:pPr>
                  <w:r>
                    <w:rPr>
                      <w:rFonts w:hint="eastAsia" w:ascii="宋体" w:hAnsi="宋体"/>
                      <w:bCs/>
                      <w:color w:val="000000"/>
                      <w:szCs w:val="21"/>
                    </w:rPr>
                    <w:t>100%</w:t>
                  </w:r>
                </w:p>
              </w:tc>
              <w:tc>
                <w:tcPr>
                  <w:tcW w:w="850" w:type="dxa"/>
                  <w:noWrap w:val="0"/>
                  <w:vAlign w:val="center"/>
                </w:tcPr>
                <w:p>
                  <w:pPr>
                    <w:spacing w:line="0" w:lineRule="atLeast"/>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59"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lang w:val="en-US" w:eastAsia="zh-CN"/>
                    </w:rPr>
                    <w:t>综合部</w:t>
                  </w:r>
                </w:p>
              </w:tc>
              <w:tc>
                <w:tcPr>
                  <w:tcW w:w="3544"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培训合格率100%</w:t>
                  </w:r>
                </w:p>
              </w:tc>
              <w:tc>
                <w:tcPr>
                  <w:tcW w:w="2126" w:type="dxa"/>
                  <w:noWrap w:val="0"/>
                  <w:vAlign w:val="center"/>
                </w:tcPr>
                <w:p>
                  <w:pPr>
                    <w:spacing w:line="0" w:lineRule="atLeast"/>
                    <w:jc w:val="center"/>
                    <w:rPr>
                      <w:rFonts w:hint="eastAsia" w:ascii="宋体" w:hAnsi="宋体"/>
                      <w:bCs/>
                      <w:color w:val="000000"/>
                      <w:szCs w:val="21"/>
                    </w:rPr>
                  </w:pPr>
                  <w:r>
                    <w:rPr>
                      <w:rFonts w:hint="eastAsia" w:ascii="宋体" w:hAnsi="宋体"/>
                      <w:bCs/>
                      <w:color w:val="000000"/>
                      <w:szCs w:val="21"/>
                    </w:rPr>
                    <w:t>100%</w:t>
                  </w:r>
                </w:p>
              </w:tc>
              <w:tc>
                <w:tcPr>
                  <w:tcW w:w="850" w:type="dxa"/>
                  <w:noWrap w:val="0"/>
                  <w:vAlign w:val="center"/>
                </w:tcPr>
                <w:p>
                  <w:pPr>
                    <w:spacing w:line="0" w:lineRule="atLeast"/>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59"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lang w:val="en-US" w:eastAsia="zh-CN"/>
                    </w:rPr>
                    <w:t>综合部</w:t>
                  </w:r>
                </w:p>
              </w:tc>
              <w:tc>
                <w:tcPr>
                  <w:tcW w:w="3544"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文件化信息受控率100%</w:t>
                  </w:r>
                </w:p>
              </w:tc>
              <w:tc>
                <w:tcPr>
                  <w:tcW w:w="2126" w:type="dxa"/>
                  <w:noWrap w:val="0"/>
                  <w:vAlign w:val="center"/>
                </w:tcPr>
                <w:p>
                  <w:pPr>
                    <w:spacing w:line="0" w:lineRule="atLeast"/>
                    <w:jc w:val="center"/>
                    <w:rPr>
                      <w:rFonts w:hint="eastAsia" w:ascii="宋体" w:hAnsi="宋体"/>
                      <w:bCs/>
                      <w:color w:val="000000"/>
                      <w:szCs w:val="21"/>
                    </w:rPr>
                  </w:pPr>
                  <w:r>
                    <w:rPr>
                      <w:rFonts w:hint="eastAsia" w:ascii="宋体" w:hAnsi="宋体"/>
                      <w:bCs/>
                      <w:color w:val="000000"/>
                      <w:szCs w:val="21"/>
                    </w:rPr>
                    <w:t>100%</w:t>
                  </w:r>
                </w:p>
              </w:tc>
              <w:tc>
                <w:tcPr>
                  <w:tcW w:w="850" w:type="dxa"/>
                  <w:noWrap w:val="0"/>
                  <w:vAlign w:val="center"/>
                </w:tcPr>
                <w:p>
                  <w:pPr>
                    <w:spacing w:line="0" w:lineRule="atLeast"/>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59"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lang w:val="en-US" w:eastAsia="zh-CN"/>
                    </w:rPr>
                    <w:t>综合部</w:t>
                  </w:r>
                </w:p>
              </w:tc>
              <w:tc>
                <w:tcPr>
                  <w:tcW w:w="3544"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固体废弃物有效处置率100%</w:t>
                  </w:r>
                </w:p>
              </w:tc>
              <w:tc>
                <w:tcPr>
                  <w:tcW w:w="2126" w:type="dxa"/>
                  <w:noWrap w:val="0"/>
                  <w:vAlign w:val="center"/>
                </w:tcPr>
                <w:p>
                  <w:pPr>
                    <w:spacing w:line="0" w:lineRule="atLeast"/>
                    <w:jc w:val="center"/>
                    <w:rPr>
                      <w:rFonts w:hint="eastAsia" w:ascii="宋体" w:hAnsi="宋体"/>
                      <w:bCs/>
                      <w:color w:val="000000"/>
                      <w:szCs w:val="21"/>
                    </w:rPr>
                  </w:pPr>
                  <w:r>
                    <w:rPr>
                      <w:rFonts w:hint="eastAsia" w:ascii="宋体" w:hAnsi="宋体"/>
                      <w:bCs/>
                      <w:color w:val="000000"/>
                      <w:szCs w:val="21"/>
                    </w:rPr>
                    <w:t>100%</w:t>
                  </w:r>
                </w:p>
              </w:tc>
              <w:tc>
                <w:tcPr>
                  <w:tcW w:w="850" w:type="dxa"/>
                  <w:noWrap w:val="0"/>
                  <w:vAlign w:val="center"/>
                </w:tcPr>
                <w:p>
                  <w:pPr>
                    <w:spacing w:line="0" w:lineRule="atLeast"/>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59"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lang w:val="en-US" w:eastAsia="zh-CN"/>
                    </w:rPr>
                    <w:t>综合部</w:t>
                  </w:r>
                </w:p>
              </w:tc>
              <w:tc>
                <w:tcPr>
                  <w:tcW w:w="3544"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火灾发生率0</w:t>
                  </w:r>
                </w:p>
              </w:tc>
              <w:tc>
                <w:tcPr>
                  <w:tcW w:w="2126" w:type="dxa"/>
                  <w:noWrap w:val="0"/>
                  <w:vAlign w:val="center"/>
                </w:tcPr>
                <w:p>
                  <w:pPr>
                    <w:spacing w:line="0" w:lineRule="atLeast"/>
                    <w:jc w:val="center"/>
                    <w:rPr>
                      <w:rFonts w:hint="eastAsia" w:ascii="宋体" w:hAnsi="宋体"/>
                      <w:bCs/>
                      <w:color w:val="000000"/>
                      <w:szCs w:val="21"/>
                    </w:rPr>
                  </w:pPr>
                  <w:r>
                    <w:rPr>
                      <w:rFonts w:hint="eastAsia" w:ascii="宋体" w:hAnsi="宋体"/>
                      <w:bCs/>
                      <w:color w:val="000000"/>
                      <w:szCs w:val="21"/>
                    </w:rPr>
                    <w:t>0</w:t>
                  </w:r>
                </w:p>
              </w:tc>
              <w:tc>
                <w:tcPr>
                  <w:tcW w:w="850" w:type="dxa"/>
                  <w:noWrap w:val="0"/>
                  <w:vAlign w:val="center"/>
                </w:tcPr>
                <w:p>
                  <w:pPr>
                    <w:spacing w:line="0" w:lineRule="atLeast"/>
                    <w:rPr>
                      <w:rFonts w:hint="eastAsia" w:ascii="宋体" w:hAnsi="宋体"/>
                      <w:bCs/>
                      <w:color w:val="000000"/>
                      <w:szCs w:val="21"/>
                    </w:rPr>
                  </w:pPr>
                </w:p>
              </w:tc>
            </w:tr>
          </w:tbl>
          <w:p>
            <w:pPr>
              <w:pStyle w:val="2"/>
              <w:spacing w:line="240" w:lineRule="auto"/>
              <w:rPr>
                <w:rFonts w:hint="default" w:ascii="Calibri" w:hAnsi="Calibri" w:cs="Times New Roman"/>
                <w:kern w:val="2"/>
                <w:sz w:val="21"/>
                <w:szCs w:val="21"/>
                <w:lang w:val="en-US" w:eastAsia="zh-CN" w:bidi="ar-SA"/>
              </w:rPr>
            </w:pPr>
          </w:p>
          <w:p>
            <w:pPr>
              <w:pStyle w:val="2"/>
              <w:spacing w:line="240" w:lineRule="auto"/>
              <w:rPr>
                <w:rFonts w:hint="eastAsia" w:ascii="Calibri" w:hAnsi="Calibri" w:cs="Times New Roman"/>
                <w:kern w:val="2"/>
                <w:sz w:val="21"/>
                <w:szCs w:val="21"/>
                <w:lang w:val="en-US" w:eastAsia="zh-CN" w:bidi="ar-SA"/>
              </w:rPr>
            </w:pPr>
            <w:r>
              <w:rPr>
                <w:rFonts w:hint="eastAsia" w:ascii="Calibri" w:hAnsi="Calibri" w:cs="Times New Roman"/>
                <w:kern w:val="2"/>
                <w:sz w:val="21"/>
                <w:szCs w:val="21"/>
                <w:lang w:val="en-US" w:eastAsia="zh-CN" w:bidi="ar-SA"/>
              </w:rPr>
              <w:t>跟踪核查环境目标、指标管理方案，编制：权晓毅；审核：赵阳；批准：赵阳；日期：2022年1月11日；如下：</w:t>
            </w:r>
          </w:p>
          <w:p>
            <w:pPr>
              <w:pStyle w:val="2"/>
              <w:spacing w:line="240" w:lineRule="auto"/>
              <w:rPr>
                <w:rFonts w:hint="default" w:ascii="Calibri" w:hAnsi="Calibri" w:cs="Times New Roman"/>
                <w:kern w:val="2"/>
                <w:sz w:val="21"/>
                <w:szCs w:val="21"/>
                <w:lang w:val="en-US" w:eastAsia="zh-CN" w:bidi="ar-SA"/>
              </w:rPr>
            </w:pPr>
            <w:r>
              <w:drawing>
                <wp:inline distT="0" distB="0" distL="114300" distR="114300">
                  <wp:extent cx="5187950" cy="2511425"/>
                  <wp:effectExtent l="0" t="0" r="6350" b="3175"/>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12"/>
                          <a:stretch>
                            <a:fillRect/>
                          </a:stretch>
                        </pic:blipFill>
                        <pic:spPr>
                          <a:xfrm>
                            <a:off x="0" y="0"/>
                            <a:ext cx="5187950" cy="2511425"/>
                          </a:xfrm>
                          <a:prstGeom prst="rect">
                            <a:avLst/>
                          </a:prstGeom>
                          <a:noFill/>
                          <a:ln>
                            <a:noFill/>
                          </a:ln>
                        </pic:spPr>
                      </pic:pic>
                    </a:graphicData>
                  </a:graphic>
                </wp:inline>
              </w:drawing>
            </w:r>
          </w:p>
          <w:p>
            <w:pPr>
              <w:pStyle w:val="2"/>
              <w:spacing w:line="240" w:lineRule="auto"/>
              <w:rPr>
                <w:rFonts w:hint="eastAsia"/>
                <w:lang w:val="en-US" w:eastAsia="zh-CN"/>
              </w:rPr>
            </w:pPr>
            <w:r>
              <w:rPr>
                <w:rFonts w:hint="eastAsia"/>
                <w:lang w:val="en-US" w:eastAsia="zh-CN"/>
              </w:rPr>
              <w:t>跟踪核查“2022年度职业健康安全目标、指标与管理方案一览表”</w:t>
            </w:r>
          </w:p>
          <w:p>
            <w:pPr>
              <w:pStyle w:val="2"/>
              <w:spacing w:line="240" w:lineRule="auto"/>
            </w:pPr>
            <w:r>
              <w:drawing>
                <wp:inline distT="0" distB="0" distL="114300" distR="114300">
                  <wp:extent cx="6210935" cy="3672840"/>
                  <wp:effectExtent l="0" t="0" r="12065" b="10160"/>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pic:cNvPicPr>
                            <a:picLocks noChangeAspect="1"/>
                          </pic:cNvPicPr>
                        </pic:nvPicPr>
                        <pic:blipFill>
                          <a:blip r:embed="rId13"/>
                          <a:stretch>
                            <a:fillRect/>
                          </a:stretch>
                        </pic:blipFill>
                        <pic:spPr>
                          <a:xfrm>
                            <a:off x="0" y="0"/>
                            <a:ext cx="6210935" cy="3672840"/>
                          </a:xfrm>
                          <a:prstGeom prst="rect">
                            <a:avLst/>
                          </a:prstGeom>
                          <a:noFill/>
                          <a:ln>
                            <a:noFill/>
                          </a:ln>
                        </pic:spPr>
                      </pic:pic>
                    </a:graphicData>
                  </a:graphic>
                </wp:inline>
              </w:drawing>
            </w:r>
          </w:p>
          <w:p>
            <w:pPr>
              <w:pStyle w:val="2"/>
              <w:spacing w:line="240" w:lineRule="auto"/>
              <w:rPr>
                <w:rFonts w:hint="default"/>
                <w:lang w:val="en-US" w:eastAsia="zh-CN"/>
              </w:rPr>
            </w:pPr>
            <w:r>
              <w:rPr>
                <w:rFonts w:hint="eastAsia"/>
                <w:lang w:val="en-US" w:eastAsia="zh-CN"/>
              </w:rPr>
              <w:t>——基本符合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default"/>
                <w:sz w:val="21"/>
                <w:szCs w:val="21"/>
                <w:lang w:val="en-US" w:eastAsia="zh-CN"/>
              </w:rPr>
            </w:pPr>
            <w:r>
              <w:rPr>
                <w:rFonts w:hint="eastAsia"/>
                <w:sz w:val="21"/>
                <w:szCs w:val="21"/>
                <w:lang w:val="en-US" w:eastAsia="zh-CN"/>
              </w:rPr>
              <w:t>运行控制</w:t>
            </w:r>
          </w:p>
        </w:tc>
        <w:tc>
          <w:tcPr>
            <w:tcW w:w="960" w:type="dxa"/>
          </w:tcPr>
          <w:p>
            <w:pPr>
              <w:rPr>
                <w:rFonts w:hint="default"/>
                <w:sz w:val="21"/>
                <w:szCs w:val="21"/>
                <w:lang w:val="en-US" w:eastAsia="zh-CN"/>
              </w:rPr>
            </w:pPr>
            <w:r>
              <w:rPr>
                <w:rFonts w:hint="eastAsia"/>
                <w:sz w:val="21"/>
                <w:szCs w:val="21"/>
                <w:lang w:val="en-US" w:eastAsia="zh-CN"/>
              </w:rPr>
              <w:t>ES8.1</w:t>
            </w:r>
          </w:p>
        </w:tc>
        <w:tc>
          <w:tcPr>
            <w:tcW w:w="10004" w:type="dxa"/>
          </w:tcPr>
          <w:p>
            <w:pPr>
              <w:pStyle w:val="2"/>
              <w:spacing w:line="240" w:lineRule="auto"/>
              <w:rPr>
                <w:rFonts w:hint="eastAsia" w:cs="Times New Roman"/>
                <w:lang w:val="en-US" w:eastAsia="zh-CN"/>
              </w:rPr>
            </w:pPr>
            <w:r>
              <w:rPr>
                <w:rFonts w:hint="eastAsia"/>
                <w:lang w:val="en-US" w:eastAsia="zh-CN"/>
              </w:rPr>
              <w:t>---策划</w:t>
            </w:r>
            <w:r>
              <w:rPr>
                <w:rFonts w:hint="eastAsia" w:cs="Times New Roman"/>
                <w:lang w:val="en-US" w:eastAsia="zh-CN"/>
              </w:rPr>
              <w:t>《消防安全管理程序》、《固体废弃物控制程序》、《能源资源管理程序》。——本部门主控。</w:t>
            </w:r>
          </w:p>
          <w:p>
            <w:pPr>
              <w:pStyle w:val="2"/>
              <w:spacing w:line="240" w:lineRule="auto"/>
              <w:rPr>
                <w:rFonts w:hint="eastAsia"/>
                <w:sz w:val="21"/>
                <w:szCs w:val="21"/>
                <w:lang w:val="en-US" w:eastAsia="zh-CN"/>
              </w:rPr>
            </w:pPr>
            <w:r>
              <w:rPr>
                <w:rFonts w:hint="eastAsia"/>
                <w:sz w:val="21"/>
                <w:szCs w:val="21"/>
                <w:lang w:val="en-US" w:eastAsia="zh-CN"/>
              </w:rPr>
              <w:t>---远程视频查看办公场所配备有空调、照明灯具、办公家具、垃圾筐、ＡＢＣ灭火器，定置存放，有效。；仓库货物存放在定制货架，通道通畅；办公场所整洁，办公及生活垃圾及仓库废弃包装物按要求放置，未发现固废随意排放情况，未发现有违规用电／用火情况，未发现有明显的安全隐患，生活污水排入市政管网。</w:t>
            </w:r>
          </w:p>
          <w:p>
            <w:pPr>
              <w:pStyle w:val="2"/>
              <w:spacing w:line="240" w:lineRule="auto"/>
              <w:rPr>
                <w:rFonts w:hint="eastAsia" w:cs="Times New Roman"/>
                <w:lang w:val="en-US" w:eastAsia="zh-CN"/>
              </w:rPr>
            </w:pPr>
            <w:r>
              <w:rPr>
                <w:rFonts w:hint="eastAsia" w:cs="Times New Roman"/>
                <w:lang w:val="en-US" w:eastAsia="zh-CN"/>
              </w:rPr>
              <w:t>---部门负责人介绍，公司主要业务为电器设备、仪器仪表、机械设备及配件、电线电缆、水暖阀门、金属材料（不含贵金属）、五金工具、土杂产品、轴承、建筑材料、计算机及配件、办公用品、针纺织品、化工产品（不含易燃易爆易制毒危险化学品）、装饰材料、通讯设备、包装材料、日用百货、工艺礼品（不含文物）的销售；主要客户为洛阳石化及其下属关联企业；公司办公经营面积220平，配备两个仓库，主要用于样品及周转率快的小件货品存放，配备有手动叉车，大件物品及货值较高的货品有上游客户通过顺丰和德邦物流直接发往下游客户；公司无特种设备及需要强制检定的测量设备，检验标准为产品合格证明、外包装完整度及货品数量；固废排放去向为废品收购站及环卫指定垃圾存放点，消防控制主要为培训教育、制度约束、应急演练，设备为灭火器。</w:t>
            </w:r>
          </w:p>
          <w:p>
            <w:pPr>
              <w:pStyle w:val="2"/>
              <w:spacing w:line="240" w:lineRule="auto"/>
              <w:rPr>
                <w:rFonts w:hint="eastAsia" w:cs="Times New Roman"/>
                <w:lang w:val="en-US" w:eastAsia="zh-CN"/>
              </w:rPr>
            </w:pPr>
            <w:r>
              <w:rPr>
                <w:rFonts w:hint="eastAsia" w:cs="Times New Roman"/>
                <w:lang w:val="en-US" w:eastAsia="zh-CN"/>
              </w:rPr>
              <w:t>查：“环境安全管理检查记录”，主要包括水、气、声、废、能资源、消防设备、管理方案等的控制记录，抽查如下：</w:t>
            </w:r>
          </w:p>
          <w:p>
            <w:pPr>
              <w:pStyle w:val="2"/>
              <w:spacing w:line="240" w:lineRule="auto"/>
            </w:pPr>
            <w:r>
              <w:drawing>
                <wp:inline distT="0" distB="0" distL="114300" distR="114300">
                  <wp:extent cx="3384550" cy="2182495"/>
                  <wp:effectExtent l="0" t="0" r="6350" b="1905"/>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14"/>
                          <a:stretch>
                            <a:fillRect/>
                          </a:stretch>
                        </pic:blipFill>
                        <pic:spPr>
                          <a:xfrm>
                            <a:off x="0" y="0"/>
                            <a:ext cx="3384550" cy="2182495"/>
                          </a:xfrm>
                          <a:prstGeom prst="rect">
                            <a:avLst/>
                          </a:prstGeom>
                          <a:noFill/>
                          <a:ln>
                            <a:noFill/>
                          </a:ln>
                        </pic:spPr>
                      </pic:pic>
                    </a:graphicData>
                  </a:graphic>
                </wp:inline>
              </w:drawing>
            </w:r>
          </w:p>
          <w:p>
            <w:pPr>
              <w:pStyle w:val="2"/>
              <w:spacing w:line="240" w:lineRule="auto"/>
              <w:rPr>
                <w:rFonts w:hint="default" w:eastAsia="宋体"/>
                <w:lang w:val="en-US" w:eastAsia="zh-CN"/>
              </w:rPr>
            </w:pPr>
            <w:r>
              <w:rPr>
                <w:rFonts w:hint="eastAsia"/>
                <w:lang w:val="en-US" w:eastAsia="zh-CN"/>
              </w:rPr>
              <w:t>查“管理方案检测表”，如下：</w:t>
            </w:r>
          </w:p>
          <w:p>
            <w:pPr>
              <w:pStyle w:val="2"/>
              <w:spacing w:line="240" w:lineRule="auto"/>
            </w:pPr>
            <w:r>
              <w:drawing>
                <wp:inline distT="0" distB="0" distL="114300" distR="114300">
                  <wp:extent cx="5365750" cy="3194050"/>
                  <wp:effectExtent l="0" t="0" r="6350" b="6350"/>
                  <wp:docPr id="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pic:cNvPicPr>
                            <a:picLocks noChangeAspect="1"/>
                          </pic:cNvPicPr>
                        </pic:nvPicPr>
                        <pic:blipFill>
                          <a:blip r:embed="rId15"/>
                          <a:stretch>
                            <a:fillRect/>
                          </a:stretch>
                        </pic:blipFill>
                        <pic:spPr>
                          <a:xfrm>
                            <a:off x="0" y="0"/>
                            <a:ext cx="5365750" cy="3194050"/>
                          </a:xfrm>
                          <a:prstGeom prst="rect">
                            <a:avLst/>
                          </a:prstGeom>
                          <a:noFill/>
                          <a:ln>
                            <a:noFill/>
                          </a:ln>
                        </pic:spPr>
                      </pic:pic>
                    </a:graphicData>
                  </a:graphic>
                </wp:inline>
              </w:drawing>
            </w:r>
          </w:p>
          <w:p>
            <w:pPr>
              <w:pStyle w:val="2"/>
              <w:spacing w:line="240" w:lineRule="auto"/>
              <w:rPr>
                <w:rFonts w:hint="eastAsia"/>
                <w:lang w:val="en-US" w:eastAsia="zh-CN"/>
              </w:rPr>
            </w:pPr>
            <w:r>
              <w:rPr>
                <w:rFonts w:hint="eastAsia"/>
                <w:lang w:val="en-US" w:eastAsia="zh-CN"/>
              </w:rPr>
              <w:t>抽查“废弃物处置统计表”如下：</w:t>
            </w:r>
          </w:p>
          <w:p>
            <w:pPr>
              <w:pStyle w:val="2"/>
              <w:spacing w:line="240" w:lineRule="auto"/>
            </w:pPr>
            <w:r>
              <w:drawing>
                <wp:inline distT="0" distB="0" distL="114300" distR="114300">
                  <wp:extent cx="3657600" cy="1581150"/>
                  <wp:effectExtent l="0" t="0" r="0" b="635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pic:cNvPicPr>
                        </pic:nvPicPr>
                        <pic:blipFill>
                          <a:blip r:embed="rId16"/>
                          <a:stretch>
                            <a:fillRect/>
                          </a:stretch>
                        </pic:blipFill>
                        <pic:spPr>
                          <a:xfrm>
                            <a:off x="0" y="0"/>
                            <a:ext cx="3657600" cy="1581150"/>
                          </a:xfrm>
                          <a:prstGeom prst="rect">
                            <a:avLst/>
                          </a:prstGeom>
                          <a:noFill/>
                          <a:ln>
                            <a:noFill/>
                          </a:ln>
                        </pic:spPr>
                      </pic:pic>
                    </a:graphicData>
                  </a:graphic>
                </wp:inline>
              </w:drawing>
            </w:r>
          </w:p>
          <w:p>
            <w:pPr>
              <w:pStyle w:val="2"/>
              <w:spacing w:line="240" w:lineRule="auto"/>
              <w:rPr>
                <w:rFonts w:hint="eastAsia"/>
                <w:lang w:val="en-US" w:eastAsia="zh-CN"/>
              </w:rPr>
            </w:pPr>
            <w:r>
              <w:rPr>
                <w:rFonts w:hint="eastAsia"/>
                <w:lang w:val="en-US" w:eastAsia="zh-CN"/>
              </w:rPr>
              <w:t>抽查“仓 库 检 查 记 录 表”如下：</w:t>
            </w:r>
          </w:p>
          <w:p>
            <w:pPr>
              <w:pStyle w:val="2"/>
              <w:spacing w:line="240" w:lineRule="auto"/>
            </w:pPr>
            <w:r>
              <w:drawing>
                <wp:inline distT="0" distB="0" distL="114300" distR="114300">
                  <wp:extent cx="5308600" cy="2159000"/>
                  <wp:effectExtent l="0" t="0" r="0" b="0"/>
                  <wp:docPr id="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3"/>
                          <pic:cNvPicPr>
                            <a:picLocks noChangeAspect="1"/>
                          </pic:cNvPicPr>
                        </pic:nvPicPr>
                        <pic:blipFill>
                          <a:blip r:embed="rId17"/>
                          <a:stretch>
                            <a:fillRect/>
                          </a:stretch>
                        </pic:blipFill>
                        <pic:spPr>
                          <a:xfrm>
                            <a:off x="0" y="0"/>
                            <a:ext cx="5308600" cy="2159000"/>
                          </a:xfrm>
                          <a:prstGeom prst="rect">
                            <a:avLst/>
                          </a:prstGeom>
                          <a:noFill/>
                          <a:ln>
                            <a:noFill/>
                          </a:ln>
                        </pic:spPr>
                      </pic:pic>
                    </a:graphicData>
                  </a:graphic>
                </wp:inline>
              </w:drawing>
            </w:r>
          </w:p>
          <w:p>
            <w:pPr>
              <w:pStyle w:val="2"/>
              <w:spacing w:line="240" w:lineRule="auto"/>
              <w:rPr>
                <w:rFonts w:hint="default"/>
                <w:lang w:val="en-US" w:eastAsia="zh-CN"/>
              </w:rPr>
            </w:pPr>
          </w:p>
          <w:p>
            <w:pPr>
              <w:pStyle w:val="2"/>
              <w:spacing w:line="240" w:lineRule="auto"/>
              <w:rPr>
                <w:rFonts w:hint="default"/>
                <w:lang w:val="en-US" w:eastAsia="zh-CN"/>
              </w:rPr>
            </w:pPr>
            <w:r>
              <w:rPr>
                <w:rFonts w:hint="eastAsia"/>
                <w:lang w:val="en-US" w:eastAsia="zh-CN"/>
              </w:rPr>
              <w:t>查“环境、安全财务支出明细”</w:t>
            </w:r>
          </w:p>
          <w:p>
            <w:pPr>
              <w:pStyle w:val="2"/>
              <w:spacing w:line="240" w:lineRule="auto"/>
            </w:pPr>
            <w:r>
              <w:drawing>
                <wp:inline distT="0" distB="0" distL="114300" distR="114300">
                  <wp:extent cx="2978150" cy="2679700"/>
                  <wp:effectExtent l="0" t="0" r="6350" b="0"/>
                  <wp:docPr id="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pic:cNvPicPr>
                            <a:picLocks noChangeAspect="1"/>
                          </pic:cNvPicPr>
                        </pic:nvPicPr>
                        <pic:blipFill>
                          <a:blip r:embed="rId18"/>
                          <a:stretch>
                            <a:fillRect/>
                          </a:stretch>
                        </pic:blipFill>
                        <pic:spPr>
                          <a:xfrm>
                            <a:off x="0" y="0"/>
                            <a:ext cx="2978150" cy="2679700"/>
                          </a:xfrm>
                          <a:prstGeom prst="rect">
                            <a:avLst/>
                          </a:prstGeom>
                          <a:noFill/>
                          <a:ln>
                            <a:noFill/>
                          </a:ln>
                        </pic:spPr>
                      </pic:pic>
                    </a:graphicData>
                  </a:graphic>
                </wp:inline>
              </w:drawing>
            </w:r>
          </w:p>
          <w:p>
            <w:pPr>
              <w:pStyle w:val="2"/>
              <w:spacing w:line="240" w:lineRule="auto"/>
              <w:rPr>
                <w:rFonts w:hint="eastAsia"/>
                <w:lang w:val="en-US" w:eastAsia="zh-CN"/>
              </w:rPr>
            </w:pPr>
            <w:r>
              <w:rPr>
                <w:rFonts w:hint="eastAsia"/>
                <w:lang w:val="en-US" w:eastAsia="zh-CN"/>
              </w:rPr>
              <w:t>抽查“劳保用品发放登记表”如下：</w:t>
            </w:r>
          </w:p>
          <w:p>
            <w:pPr>
              <w:pStyle w:val="2"/>
              <w:spacing w:line="240" w:lineRule="auto"/>
            </w:pPr>
            <w:r>
              <w:drawing>
                <wp:inline distT="0" distB="0" distL="114300" distR="114300">
                  <wp:extent cx="3752850" cy="1212850"/>
                  <wp:effectExtent l="0" t="0" r="6350" b="6350"/>
                  <wp:docPr id="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5"/>
                          <pic:cNvPicPr>
                            <a:picLocks noChangeAspect="1"/>
                          </pic:cNvPicPr>
                        </pic:nvPicPr>
                        <pic:blipFill>
                          <a:blip r:embed="rId19"/>
                          <a:stretch>
                            <a:fillRect/>
                          </a:stretch>
                        </pic:blipFill>
                        <pic:spPr>
                          <a:xfrm>
                            <a:off x="0" y="0"/>
                            <a:ext cx="3752850" cy="1212850"/>
                          </a:xfrm>
                          <a:prstGeom prst="rect">
                            <a:avLst/>
                          </a:prstGeom>
                          <a:noFill/>
                          <a:ln>
                            <a:noFill/>
                          </a:ln>
                        </pic:spPr>
                      </pic:pic>
                    </a:graphicData>
                  </a:graphic>
                </wp:inline>
              </w:drawing>
            </w:r>
          </w:p>
          <w:p>
            <w:pPr>
              <w:spacing w:line="520" w:lineRule="exact"/>
              <w:rPr>
                <w:rFonts w:hint="eastAsia"/>
                <w:b/>
                <w:bCs/>
                <w:sz w:val="36"/>
              </w:rPr>
            </w:pPr>
            <w:r>
              <w:rPr>
                <w:rFonts w:hint="eastAsia"/>
                <w:lang w:val="en-US" w:eastAsia="zh-CN"/>
              </w:rPr>
              <w:t>提</w:t>
            </w:r>
            <w:r>
              <w:rPr>
                <w:rFonts w:hint="eastAsia" w:ascii="Times New Roman" w:hAnsi="Times New Roman" w:eastAsia="宋体" w:cs="Times New Roman"/>
                <w:lang w:val="en-US" w:eastAsia="zh-CN"/>
              </w:rPr>
              <w:t>供有EHS告知书——“致供应商的信函”。</w:t>
            </w:r>
          </w:p>
          <w:p>
            <w:pPr>
              <w:pStyle w:val="2"/>
              <w:spacing w:line="240" w:lineRule="auto"/>
              <w:rPr>
                <w:rFonts w:hint="default" w:eastAsia="宋体"/>
                <w:lang w:val="en-US" w:eastAsia="zh-CN"/>
              </w:rPr>
            </w:pPr>
          </w:p>
          <w:p>
            <w:pPr>
              <w:pStyle w:val="2"/>
              <w:spacing w:line="240" w:lineRule="auto"/>
              <w:rPr>
                <w:rFonts w:hint="default" w:eastAsia="宋体"/>
                <w:lang w:val="en-US" w:eastAsia="zh-CN"/>
              </w:rPr>
            </w:pPr>
            <w:r>
              <w:rPr>
                <w:rFonts w:hint="eastAsia"/>
                <w:lang w:eastAsia="zh-CN"/>
              </w:rPr>
              <w:t>——</w:t>
            </w:r>
            <w:r>
              <w:rPr>
                <w:rFonts w:hint="eastAsia"/>
                <w:lang w:val="en-US" w:eastAsia="zh-CN"/>
              </w:rPr>
              <w:t>基本符合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default"/>
                <w:sz w:val="21"/>
                <w:szCs w:val="21"/>
                <w:lang w:val="en-US" w:eastAsia="zh-CN"/>
              </w:rPr>
            </w:pPr>
            <w:r>
              <w:rPr>
                <w:rFonts w:hint="eastAsia"/>
                <w:sz w:val="21"/>
                <w:szCs w:val="21"/>
                <w:lang w:val="en-US" w:eastAsia="zh-CN"/>
              </w:rPr>
              <w:t>应急响应</w:t>
            </w:r>
          </w:p>
        </w:tc>
        <w:tc>
          <w:tcPr>
            <w:tcW w:w="960" w:type="dxa"/>
          </w:tcPr>
          <w:p>
            <w:pPr>
              <w:rPr>
                <w:rFonts w:hint="default"/>
                <w:sz w:val="21"/>
                <w:szCs w:val="21"/>
                <w:lang w:val="en-US" w:eastAsia="zh-CN"/>
              </w:rPr>
            </w:pPr>
            <w:r>
              <w:rPr>
                <w:rFonts w:hint="eastAsia"/>
                <w:sz w:val="21"/>
                <w:szCs w:val="21"/>
                <w:lang w:val="en-US" w:eastAsia="zh-CN"/>
              </w:rPr>
              <w:t>ES8.2</w:t>
            </w:r>
          </w:p>
        </w:tc>
        <w:tc>
          <w:tcPr>
            <w:tcW w:w="10004" w:type="dxa"/>
          </w:tcPr>
          <w:p>
            <w:pPr>
              <w:pStyle w:val="2"/>
              <w:spacing w:line="240" w:lineRule="auto"/>
              <w:rPr>
                <w:rFonts w:hint="eastAsia"/>
                <w:sz w:val="21"/>
                <w:szCs w:val="21"/>
                <w:lang w:val="en-US" w:eastAsia="zh-CN"/>
              </w:rPr>
            </w:pPr>
            <w:r>
              <w:rPr>
                <w:rFonts w:hint="eastAsia"/>
                <w:sz w:val="21"/>
                <w:szCs w:val="21"/>
                <w:lang w:val="en-US" w:eastAsia="zh-CN"/>
              </w:rPr>
              <w:t>--策划有“应急准备和响应控制程序”。</w:t>
            </w:r>
          </w:p>
          <w:p>
            <w:pPr>
              <w:pStyle w:val="2"/>
              <w:spacing w:line="240" w:lineRule="auto"/>
              <w:rPr>
                <w:rFonts w:hint="eastAsia"/>
                <w:sz w:val="21"/>
                <w:szCs w:val="21"/>
                <w:lang w:val="en-US" w:eastAsia="zh-CN"/>
              </w:rPr>
            </w:pPr>
            <w:r>
              <w:rPr>
                <w:rFonts w:hint="eastAsia"/>
                <w:sz w:val="21"/>
                <w:szCs w:val="21"/>
                <w:lang w:val="en-US" w:eastAsia="zh-CN"/>
              </w:rPr>
              <w:t>---制订有触电、人员伤亡、火灾共3份应急预案并进行了相应的演练。</w:t>
            </w:r>
          </w:p>
          <w:p>
            <w:pPr>
              <w:pStyle w:val="2"/>
              <w:spacing w:line="240" w:lineRule="auto"/>
              <w:rPr>
                <w:rFonts w:hint="eastAsia"/>
                <w:sz w:val="21"/>
                <w:szCs w:val="21"/>
                <w:lang w:val="en-US" w:eastAsia="zh-CN"/>
              </w:rPr>
            </w:pPr>
            <w:r>
              <w:rPr>
                <w:rFonts w:hint="eastAsia"/>
                <w:sz w:val="21"/>
                <w:szCs w:val="21"/>
                <w:lang w:val="en-US" w:eastAsia="zh-CN"/>
              </w:rPr>
              <w:t>查应急演练记录：2022.6.9.进行了火灾演练，进行了效果评价。</w:t>
            </w:r>
          </w:p>
          <w:p>
            <w:pPr>
              <w:pStyle w:val="2"/>
              <w:spacing w:line="240" w:lineRule="auto"/>
              <w:rPr>
                <w:rFonts w:hint="default"/>
                <w:color w:val="FF0000"/>
                <w:sz w:val="21"/>
                <w:szCs w:val="21"/>
                <w:lang w:val="en-US" w:eastAsia="zh-CN"/>
              </w:rPr>
            </w:pPr>
            <w:r>
              <w:rPr>
                <w:rFonts w:hint="eastAsia"/>
                <w:color w:val="FF0000"/>
                <w:sz w:val="21"/>
                <w:szCs w:val="21"/>
                <w:lang w:val="en-US" w:eastAsia="zh-CN"/>
              </w:rPr>
              <w:t>——不符合：未见新冠疫情应急预案。</w:t>
            </w:r>
          </w:p>
          <w:p>
            <w:pPr>
              <w:pStyle w:val="2"/>
              <w:spacing w:line="240" w:lineRule="auto"/>
              <w:rPr>
                <w:rFonts w:hint="eastAsia"/>
                <w:lang w:eastAsia="zh-CN"/>
              </w:rPr>
            </w:pPr>
          </w:p>
        </w:tc>
        <w:tc>
          <w:tcPr>
            <w:tcW w:w="1585" w:type="dxa"/>
          </w:tcPr>
          <w:p/>
          <w:p>
            <w:pPr>
              <w:pStyle w:val="2"/>
            </w:pPr>
          </w:p>
          <w:p>
            <w:pPr>
              <w:pStyle w:val="2"/>
            </w:pPr>
          </w:p>
          <w:p>
            <w:pPr>
              <w:pStyle w:val="2"/>
              <w:rPr>
                <w:rFonts w:hint="default" w:eastAsia="宋体"/>
                <w:lang w:val="en-US" w:eastAsia="zh-CN"/>
              </w:rPr>
            </w:pPr>
            <w:r>
              <w:rPr>
                <w:rFonts w:hint="eastAsia"/>
                <w:color w:val="FF0000"/>
                <w:lang w:val="en-US" w:eastAsia="zh-CN"/>
              </w:rPr>
              <w:t>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default"/>
                <w:sz w:val="21"/>
                <w:szCs w:val="21"/>
                <w:lang w:val="en-US" w:eastAsia="zh-CN"/>
              </w:rPr>
            </w:pPr>
            <w:r>
              <w:rPr>
                <w:rFonts w:hint="eastAsia"/>
                <w:sz w:val="21"/>
                <w:szCs w:val="21"/>
                <w:lang w:val="en-US" w:eastAsia="zh-CN"/>
              </w:rPr>
              <w:t>体系监视测量及改进</w:t>
            </w:r>
          </w:p>
        </w:tc>
        <w:tc>
          <w:tcPr>
            <w:tcW w:w="960" w:type="dxa"/>
          </w:tcPr>
          <w:p>
            <w:pPr>
              <w:rPr>
                <w:rFonts w:hint="default"/>
                <w:sz w:val="21"/>
                <w:szCs w:val="21"/>
                <w:lang w:val="en-US" w:eastAsia="zh-CN"/>
              </w:rPr>
            </w:pPr>
            <w:r>
              <w:rPr>
                <w:rFonts w:hint="eastAsia"/>
                <w:sz w:val="21"/>
                <w:szCs w:val="21"/>
                <w:lang w:val="en-US" w:eastAsia="zh-CN"/>
              </w:rPr>
              <w:t>ES9.1.1/10.2</w:t>
            </w:r>
          </w:p>
        </w:tc>
        <w:tc>
          <w:tcPr>
            <w:tcW w:w="10004" w:type="dxa"/>
          </w:tcPr>
          <w:p>
            <w:pPr>
              <w:pStyle w:val="2"/>
              <w:spacing w:line="240" w:lineRule="auto"/>
              <w:rPr>
                <w:rFonts w:hint="eastAsia" w:cs="Times New Roman"/>
                <w:lang w:val="en-US" w:eastAsia="zh-CN"/>
              </w:rPr>
            </w:pPr>
            <w:r>
              <w:rPr>
                <w:rFonts w:hint="eastAsia"/>
                <w:lang w:val="en-US" w:eastAsia="zh-CN"/>
              </w:rPr>
              <w:t>---策</w:t>
            </w:r>
            <w:r>
              <w:rPr>
                <w:rFonts w:hint="eastAsia" w:cs="Times New Roman"/>
                <w:lang w:val="en-US" w:eastAsia="zh-CN"/>
              </w:rPr>
              <w:t>划&lt;&lt;绩效测量和监视程序&gt;&gt;、《纠正措施和预防措施控制程序》。</w:t>
            </w:r>
          </w:p>
          <w:p>
            <w:pPr>
              <w:spacing w:line="240" w:lineRule="auto"/>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---实施：</w:t>
            </w:r>
          </w:p>
          <w:p>
            <w:pPr>
              <w:spacing w:line="240" w:lineRule="auto"/>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1、在公司及部门层面全面实施目标考核机制，针对周期性目标考核结果进行改进实施。</w:t>
            </w:r>
          </w:p>
          <w:p>
            <w:pPr>
              <w:spacing w:line="240" w:lineRule="auto"/>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2、针对潜在的紧急情况造成的环境和职业健康安全风险，组织制定了有效的应急预案，并适时安排演练验证，以确定其适宜性和有效性，提升全员应急反应能力。</w:t>
            </w:r>
          </w:p>
          <w:p>
            <w:pPr>
              <w:spacing w:line="240" w:lineRule="auto"/>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3、针对年度内审发现的不符合项实施了原因分析制定纠正措施并跟踪整改验证；针对年度管理评审和公司重大会议等活动信息进行综合分析评价，形成必要的改进决策。</w:t>
            </w:r>
          </w:p>
          <w:p>
            <w:pPr>
              <w:spacing w:line="240" w:lineRule="auto"/>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4、在日常业务运行中，组织各部门收集、统计贯标记录及EMS/OHSMS相关记录信息，运用统计技术进行数据分析，寻找改进机会。</w:t>
            </w:r>
          </w:p>
          <w:p>
            <w:pPr>
              <w:pStyle w:val="2"/>
              <w:spacing w:line="240" w:lineRule="auto"/>
              <w:rPr>
                <w:rFonts w:hint="default" w:cs="Times New Roman"/>
                <w:lang w:val="en-US" w:eastAsia="zh-CN"/>
              </w:rPr>
            </w:pPr>
            <w:r>
              <w:rPr>
                <w:rFonts w:hint="eastAsia" w:ascii="Times New Roman" w:hAnsi="Times New Roman" w:eastAsia="宋体" w:cs="Times New Roman"/>
                <w:sz w:val="21"/>
                <w:szCs w:val="21"/>
                <w:lang w:val="en-US" w:eastAsia="zh-CN"/>
              </w:rPr>
              <w:t>——上述这些均在相应的过程审核中提供有实施证据，证实了该组织改进机制的建设基本有效。</w:t>
            </w:r>
          </w:p>
        </w:tc>
        <w:tc>
          <w:tcPr>
            <w:tcW w:w="1585" w:type="dxa"/>
          </w:tcPr>
          <w:p>
            <w:pPr>
              <w:pStyle w:val="2"/>
              <w:rPr>
                <w:rFonts w:hint="eastAsia"/>
                <w:color w:val="FF0000"/>
                <w:lang w:val="en-US" w:eastAsia="zh-CN"/>
              </w:rPr>
            </w:p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9A432B"/>
    <w:multiLevelType w:val="singleLevel"/>
    <w:tmpl w:val="D19A432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NmYzZkNjY3OTU4NDczNmE2MzQyY2ZjMDNmYTJmNDMifQ=="/>
  </w:docVars>
  <w:rsids>
    <w:rsidRoot w:val="00000000"/>
    <w:rsid w:val="011D0456"/>
    <w:rsid w:val="05EA7748"/>
    <w:rsid w:val="075F75F3"/>
    <w:rsid w:val="0BA32699"/>
    <w:rsid w:val="0EF076CB"/>
    <w:rsid w:val="10C1473A"/>
    <w:rsid w:val="11276C93"/>
    <w:rsid w:val="11D81D3B"/>
    <w:rsid w:val="12BA6C22"/>
    <w:rsid w:val="12F82323"/>
    <w:rsid w:val="1528575D"/>
    <w:rsid w:val="173B6FF4"/>
    <w:rsid w:val="1A977572"/>
    <w:rsid w:val="1AE27866"/>
    <w:rsid w:val="1AE53D93"/>
    <w:rsid w:val="1C4D0462"/>
    <w:rsid w:val="1E750855"/>
    <w:rsid w:val="1FBE4C66"/>
    <w:rsid w:val="20931C4F"/>
    <w:rsid w:val="23445482"/>
    <w:rsid w:val="23AB1B77"/>
    <w:rsid w:val="24AF4B7D"/>
    <w:rsid w:val="25F0369F"/>
    <w:rsid w:val="27624A64"/>
    <w:rsid w:val="280571E1"/>
    <w:rsid w:val="29AF2823"/>
    <w:rsid w:val="2A5766A3"/>
    <w:rsid w:val="2BDD2ABD"/>
    <w:rsid w:val="2CD92B40"/>
    <w:rsid w:val="2F3C4E08"/>
    <w:rsid w:val="311C0107"/>
    <w:rsid w:val="31D64091"/>
    <w:rsid w:val="334E70DF"/>
    <w:rsid w:val="34900056"/>
    <w:rsid w:val="354B444E"/>
    <w:rsid w:val="360C515F"/>
    <w:rsid w:val="37435AD3"/>
    <w:rsid w:val="37B95FE7"/>
    <w:rsid w:val="37D96F38"/>
    <w:rsid w:val="3C5F6A31"/>
    <w:rsid w:val="3E1C0F2E"/>
    <w:rsid w:val="40B21825"/>
    <w:rsid w:val="45152203"/>
    <w:rsid w:val="46915C15"/>
    <w:rsid w:val="476D294A"/>
    <w:rsid w:val="479B6F0F"/>
    <w:rsid w:val="47B71D7F"/>
    <w:rsid w:val="48311BC9"/>
    <w:rsid w:val="4924528A"/>
    <w:rsid w:val="4A054498"/>
    <w:rsid w:val="59284923"/>
    <w:rsid w:val="5B1A1BCA"/>
    <w:rsid w:val="5B5E462C"/>
    <w:rsid w:val="5D38600F"/>
    <w:rsid w:val="5DE7539C"/>
    <w:rsid w:val="5E761C8C"/>
    <w:rsid w:val="62741411"/>
    <w:rsid w:val="63F36C4B"/>
    <w:rsid w:val="667F7BA5"/>
    <w:rsid w:val="66A03D4A"/>
    <w:rsid w:val="69230B8D"/>
    <w:rsid w:val="695970DC"/>
    <w:rsid w:val="6965127B"/>
    <w:rsid w:val="699D4127"/>
    <w:rsid w:val="6A5563C0"/>
    <w:rsid w:val="6E9C129B"/>
    <w:rsid w:val="6F6124E5"/>
    <w:rsid w:val="70D70CB1"/>
    <w:rsid w:val="737D308D"/>
    <w:rsid w:val="73E0416A"/>
    <w:rsid w:val="764469D1"/>
    <w:rsid w:val="77655743"/>
    <w:rsid w:val="779A777D"/>
    <w:rsid w:val="79DE4E5E"/>
    <w:rsid w:val="7ACA2142"/>
    <w:rsid w:val="7B4C37DA"/>
    <w:rsid w:val="7C6852D2"/>
    <w:rsid w:val="7E854BB5"/>
    <w:rsid w:val="7F896646"/>
    <w:rsid w:val="7FBD07BE"/>
    <w:rsid w:val="7FD04C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jc w:val="left"/>
    </w:pPr>
    <w:rPr>
      <w:rFonts w:ascii="Times New Roman" w:hAnsi="Times New Roman" w:eastAsia="宋体"/>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页眉 Char"/>
    <w:basedOn w:val="7"/>
    <w:link w:val="5"/>
    <w:qFormat/>
    <w:uiPriority w:val="99"/>
    <w:rPr>
      <w:rFonts w:ascii="Times New Roman" w:hAnsi="Times New Roman" w:eastAsia="宋体" w:cs="Times New Roman"/>
      <w:sz w:val="18"/>
      <w:szCs w:val="18"/>
    </w:rPr>
  </w:style>
  <w:style w:type="character" w:customStyle="1" w:styleId="10">
    <w:name w:val="页脚 Char"/>
    <w:basedOn w:val="7"/>
    <w:link w:val="4"/>
    <w:qFormat/>
    <w:uiPriority w:val="99"/>
    <w:rPr>
      <w:rFonts w:ascii="Times New Roman" w:hAnsi="Times New Roman" w:eastAsia="宋体" w:cs="Times New Roman"/>
      <w:sz w:val="18"/>
      <w:szCs w:val="18"/>
    </w:rPr>
  </w:style>
  <w:style w:type="character" w:customStyle="1" w:styleId="11">
    <w:name w:val="批注框文本 Char"/>
    <w:basedOn w:val="7"/>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2.bin"/><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emf"/><Relationship Id="rId10" Type="http://schemas.openxmlformats.org/officeDocument/2006/relationships/oleObject" Target="embeddings/oleObject3.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2788</Words>
  <Characters>3047</Characters>
  <Lines>1</Lines>
  <Paragraphs>1</Paragraphs>
  <TotalTime>1</TotalTime>
  <ScaleCrop>false</ScaleCrop>
  <LinksUpToDate>false</LinksUpToDate>
  <CharactersWithSpaces>3130</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匡吉文</cp:lastModifiedBy>
  <dcterms:modified xsi:type="dcterms:W3CDTF">2022-10-15T11:40:33Z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2052-11.1.0.12132</vt:lpwstr>
  </property>
</Properties>
</file>