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1114-2022-Q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四川信德工程造价咨询有限公司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四川信德工程造价咨询有限公司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成都市高新区神仙树南路8号</w:t>
            </w:r>
            <w:bookmarkEnd w:id="6"/>
          </w:p>
        </w:tc>
        <w:tc>
          <w:tcPr>
            <w:tcW w:w="1242" w:type="dxa"/>
            <w:vMerge w:val="restart"/>
            <w:vAlign w:val="center"/>
          </w:tcPr>
          <w:p>
            <w:r>
              <w:rPr>
                <w:rFonts w:hint="eastAsia"/>
              </w:rPr>
              <w:t>邮编</w:t>
            </w:r>
          </w:p>
        </w:tc>
        <w:tc>
          <w:tcPr>
            <w:tcW w:w="1771" w:type="dxa"/>
          </w:tcPr>
          <w:p>
            <w:bookmarkStart w:id="7" w:name="注册邮编"/>
            <w:r>
              <w:t>610041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成都市高新区神仙树南路8号</w:t>
            </w:r>
            <w:bookmarkEnd w:id="8"/>
          </w:p>
        </w:tc>
        <w:tc>
          <w:tcPr>
            <w:tcW w:w="1242" w:type="dxa"/>
            <w:vMerge w:val="continue"/>
            <w:vAlign w:val="center"/>
          </w:tcPr>
          <w:p/>
        </w:tc>
        <w:tc>
          <w:tcPr>
            <w:tcW w:w="1771" w:type="dxa"/>
          </w:tcPr>
          <w:p>
            <w:bookmarkStart w:id="9" w:name="办公邮编"/>
            <w:r>
              <w:t>610041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魏俊奇</w:t>
            </w:r>
            <w:bookmarkEnd w:id="10"/>
          </w:p>
        </w:tc>
        <w:tc>
          <w:tcPr>
            <w:tcW w:w="1313" w:type="dxa"/>
            <w:vAlign w:val="center"/>
          </w:tcPr>
          <w:p>
            <w:r>
              <w:rPr>
                <w:rFonts w:hint="eastAsia"/>
              </w:rPr>
              <w:t>电话.</w:t>
            </w:r>
          </w:p>
        </w:tc>
        <w:tc>
          <w:tcPr>
            <w:tcW w:w="2180" w:type="dxa"/>
            <w:vAlign w:val="center"/>
          </w:tcPr>
          <w:p>
            <w:bookmarkStart w:id="11" w:name="联系人电话"/>
            <w:r>
              <w:t>13808016441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周云</w:t>
            </w:r>
            <w:bookmarkEnd w:id="13"/>
          </w:p>
        </w:tc>
        <w:tc>
          <w:tcPr>
            <w:tcW w:w="1313" w:type="dxa"/>
            <w:vAlign w:val="center"/>
          </w:tcPr>
          <w:p>
            <w:r>
              <w:rPr>
                <w:rFonts w:hint="eastAsia"/>
              </w:rPr>
              <w:t>管理者代表</w:t>
            </w:r>
          </w:p>
        </w:tc>
        <w:tc>
          <w:tcPr>
            <w:tcW w:w="2180" w:type="dxa"/>
          </w:tcPr>
          <w:p>
            <w:bookmarkStart w:id="14" w:name="管理者代表"/>
            <w:r>
              <w:t>魏俊奇</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yellow"/>
              </w:rPr>
            </w:pPr>
            <w:r>
              <w:rPr>
                <w:rFonts w:hint="eastAsia"/>
                <w:highlight w:val="yellow"/>
              </w:rPr>
              <w:t>生产/服务提供流程简图</w:t>
            </w:r>
          </w:p>
          <w:p>
            <w:pPr>
              <w:rPr>
                <w:highlight w:val="yellow"/>
              </w:rPr>
            </w:pPr>
          </w:p>
          <w:p>
            <w:pPr>
              <w:rPr>
                <w:highlight w:val="yellow"/>
              </w:rPr>
            </w:pPr>
          </w:p>
        </w:tc>
        <w:tc>
          <w:tcPr>
            <w:tcW w:w="8058" w:type="dxa"/>
            <w:gridSpan w:val="5"/>
            <w:shd w:val="clear" w:color="auto" w:fill="auto"/>
          </w:tcPr>
          <w:p>
            <w:pPr>
              <w:rPr>
                <w:rFonts w:hint="eastAsia" w:ascii="Arial" w:hAnsi="Arial" w:cs="Arial"/>
                <w:lang w:val="en-US" w:eastAsia="zh-CN"/>
              </w:rPr>
            </w:pPr>
            <w:r>
              <w:t>工程造价咨询</w:t>
            </w:r>
            <w:r>
              <w:rPr>
                <w:rFonts w:hint="eastAsia"/>
                <w:lang w:val="en-US" w:eastAsia="zh-CN"/>
              </w:rPr>
              <w:t>:接受咨询项目委托</w:t>
            </w:r>
            <w:r>
              <w:rPr>
                <w:rFonts w:hint="default" w:ascii="Arial" w:hAnsi="Arial" w:cs="Arial"/>
                <w:lang w:val="en-US" w:eastAsia="zh-CN"/>
              </w:rPr>
              <w:t>→</w:t>
            </w:r>
            <w:r>
              <w:rPr>
                <w:rFonts w:hint="eastAsia"/>
                <w:lang w:val="en-US" w:eastAsia="zh-CN"/>
              </w:rPr>
              <w:t>明确咨询标的</w:t>
            </w:r>
            <w:r>
              <w:rPr>
                <w:rFonts w:hint="default" w:ascii="Arial" w:hAnsi="Arial" w:cs="Arial"/>
                <w:lang w:val="en-US" w:eastAsia="zh-CN"/>
              </w:rPr>
              <w:t>→</w:t>
            </w:r>
            <w:r>
              <w:rPr>
                <w:rFonts w:hint="eastAsia" w:ascii="Arial" w:hAnsi="Arial" w:cs="Arial"/>
                <w:lang w:val="en-US" w:eastAsia="zh-CN"/>
              </w:rPr>
              <w:t>收集资料</w:t>
            </w:r>
            <w:r>
              <w:rPr>
                <w:rFonts w:hint="default" w:ascii="Arial" w:hAnsi="Arial" w:cs="Arial"/>
                <w:lang w:val="en-US" w:eastAsia="zh-CN"/>
              </w:rPr>
              <w:t>→</w:t>
            </w:r>
            <w:r>
              <w:rPr>
                <w:rFonts w:hint="eastAsia"/>
                <w:lang w:val="en-US" w:eastAsia="zh-CN"/>
              </w:rPr>
              <w:t>制定咨询实施方案</w:t>
            </w:r>
            <w:r>
              <w:rPr>
                <w:rFonts w:hint="default" w:ascii="Arial" w:hAnsi="Arial" w:cs="Arial"/>
                <w:lang w:val="en-US" w:eastAsia="zh-CN"/>
              </w:rPr>
              <w:t>→</w:t>
            </w:r>
            <w:r>
              <w:rPr>
                <w:rFonts w:hint="eastAsia"/>
                <w:lang w:val="en-US" w:eastAsia="zh-CN"/>
              </w:rPr>
              <w:t>开展工程造价工作</w:t>
            </w:r>
            <w:r>
              <w:rPr>
                <w:rFonts w:hint="default" w:ascii="Arial" w:hAnsi="Arial" w:cs="Arial"/>
                <w:lang w:val="en-US" w:eastAsia="zh-CN"/>
              </w:rPr>
              <w:t>→</w:t>
            </w:r>
            <w:r>
              <w:rPr>
                <w:rFonts w:hint="eastAsia" w:ascii="Arial" w:hAnsi="Arial" w:cs="Arial"/>
                <w:lang w:val="en-US" w:eastAsia="zh-CN"/>
              </w:rPr>
              <w:t>形成成果</w:t>
            </w:r>
            <w:r>
              <w:rPr>
                <w:rFonts w:hint="default" w:ascii="Arial" w:hAnsi="Arial" w:cs="Arial"/>
                <w:lang w:val="en-US" w:eastAsia="zh-CN"/>
              </w:rPr>
              <w:t>→</w:t>
            </w:r>
            <w:r>
              <w:rPr>
                <w:rFonts w:hint="eastAsia" w:ascii="Arial" w:hAnsi="Arial" w:cs="Arial"/>
                <w:lang w:val="en-US" w:eastAsia="zh-CN"/>
              </w:rPr>
              <w:t>成果审定</w:t>
            </w:r>
            <w:r>
              <w:rPr>
                <w:rFonts w:hint="default" w:ascii="Arial" w:hAnsi="Arial" w:cs="Arial"/>
                <w:lang w:val="en-US" w:eastAsia="zh-CN"/>
              </w:rPr>
              <w:t>→</w:t>
            </w:r>
            <w:r>
              <w:rPr>
                <w:rFonts w:hint="eastAsia" w:ascii="Arial" w:hAnsi="Arial" w:cs="Arial"/>
                <w:lang w:val="en-US" w:eastAsia="zh-CN"/>
              </w:rPr>
              <w:t>成果交接</w:t>
            </w:r>
            <w:r>
              <w:rPr>
                <w:rFonts w:hint="default" w:ascii="Arial" w:hAnsi="Arial" w:cs="Arial"/>
                <w:lang w:val="en-US" w:eastAsia="zh-CN"/>
              </w:rPr>
              <w:t>→</w:t>
            </w:r>
            <w:r>
              <w:rPr>
                <w:rFonts w:hint="eastAsia" w:ascii="Arial" w:hAnsi="Arial" w:cs="Arial"/>
                <w:lang w:val="en-US" w:eastAsia="zh-CN"/>
              </w:rPr>
              <w:t>资料整理归档</w:t>
            </w:r>
          </w:p>
          <w:p>
            <w:pPr>
              <w:rPr>
                <w:rFonts w:hint="eastAsia" w:eastAsiaTheme="minorEastAsia"/>
                <w:sz w:val="20"/>
                <w:lang w:eastAsia="zh-CN"/>
              </w:rPr>
            </w:pPr>
            <w:r>
              <w:rPr>
                <w:sz w:val="20"/>
              </w:rPr>
              <w:t>工程招标代理</w:t>
            </w:r>
            <w:r>
              <w:rPr>
                <w:rFonts w:hint="eastAsia"/>
                <w:sz w:val="20"/>
                <w:lang w:eastAsia="zh-CN"/>
              </w:rPr>
              <w:t>：</w:t>
            </w:r>
            <w:r>
              <w:rPr>
                <w:rFonts w:hint="eastAsia"/>
                <w:lang w:val="en-US" w:eastAsia="zh-CN"/>
              </w:rPr>
              <w:t>接受招标委托</w:t>
            </w:r>
            <w:r>
              <w:rPr>
                <w:rFonts w:hint="default" w:ascii="Arial" w:hAnsi="Arial" w:cs="Arial"/>
                <w:lang w:val="en-US" w:eastAsia="zh-CN"/>
              </w:rPr>
              <w:t>→</w:t>
            </w:r>
            <w:r>
              <w:rPr>
                <w:rFonts w:hint="eastAsia"/>
                <w:lang w:val="en-US" w:eastAsia="zh-CN"/>
              </w:rPr>
              <w:t>发布招标公告</w:t>
            </w:r>
            <w:r>
              <w:rPr>
                <w:rFonts w:hint="default" w:ascii="Arial" w:hAnsi="Arial" w:cs="Arial"/>
                <w:lang w:val="en-US" w:eastAsia="zh-CN"/>
              </w:rPr>
              <w:t>→</w:t>
            </w:r>
            <w:r>
              <w:rPr>
                <w:rFonts w:hint="eastAsia" w:ascii="Arial" w:hAnsi="Arial" w:cs="Arial"/>
                <w:lang w:val="en-US" w:eastAsia="zh-CN"/>
              </w:rPr>
              <w:t>进行资格预审</w:t>
            </w:r>
            <w:r>
              <w:rPr>
                <w:rFonts w:hint="default" w:ascii="Arial" w:hAnsi="Arial" w:cs="Arial"/>
                <w:lang w:val="en-US" w:eastAsia="zh-CN"/>
              </w:rPr>
              <w:t>→</w:t>
            </w:r>
            <w:r>
              <w:rPr>
                <w:rFonts w:hint="eastAsia"/>
                <w:lang w:val="en-US" w:eastAsia="zh-CN"/>
              </w:rPr>
              <w:t>发放招标文件</w:t>
            </w:r>
            <w:r>
              <w:rPr>
                <w:rFonts w:hint="default" w:ascii="Arial" w:hAnsi="Arial" w:cs="Arial"/>
                <w:lang w:val="en-US" w:eastAsia="zh-CN"/>
              </w:rPr>
              <w:t>→</w:t>
            </w:r>
            <w:r>
              <w:rPr>
                <w:rFonts w:hint="eastAsia"/>
                <w:lang w:val="en-US" w:eastAsia="zh-CN"/>
              </w:rPr>
              <w:t>答疑会</w:t>
            </w:r>
            <w:r>
              <w:rPr>
                <w:rFonts w:hint="default" w:ascii="Arial" w:hAnsi="Arial" w:cs="Arial"/>
                <w:lang w:val="en-US" w:eastAsia="zh-CN"/>
              </w:rPr>
              <w:t>→</w:t>
            </w:r>
            <w:r>
              <w:rPr>
                <w:rFonts w:hint="eastAsia" w:ascii="Arial" w:hAnsi="Arial" w:cs="Arial"/>
                <w:lang w:val="en-US" w:eastAsia="zh-CN"/>
              </w:rPr>
              <w:t>组建评标委员会</w:t>
            </w:r>
            <w:r>
              <w:rPr>
                <w:rFonts w:hint="default" w:ascii="Arial" w:hAnsi="Arial" w:cs="Arial"/>
                <w:lang w:val="en-US" w:eastAsia="zh-CN"/>
              </w:rPr>
              <w:t>→</w:t>
            </w:r>
            <w:r>
              <w:rPr>
                <w:rFonts w:hint="eastAsia" w:ascii="Arial" w:hAnsi="Arial" w:cs="Arial"/>
                <w:lang w:val="en-US" w:eastAsia="zh-CN"/>
              </w:rPr>
              <w:t>开标</w:t>
            </w:r>
            <w:r>
              <w:rPr>
                <w:rFonts w:hint="default" w:ascii="Arial" w:hAnsi="Arial" w:cs="Arial"/>
                <w:lang w:val="en-US" w:eastAsia="zh-CN"/>
              </w:rPr>
              <w:t>→</w:t>
            </w:r>
            <w:r>
              <w:rPr>
                <w:rFonts w:hint="eastAsia" w:ascii="Arial" w:hAnsi="Arial" w:cs="Arial"/>
                <w:lang w:val="en-US" w:eastAsia="zh-CN"/>
              </w:rPr>
              <w:t>评标</w:t>
            </w:r>
            <w:r>
              <w:rPr>
                <w:rFonts w:hint="default" w:ascii="Arial" w:hAnsi="Arial" w:cs="Arial"/>
                <w:lang w:val="en-US" w:eastAsia="zh-CN"/>
              </w:rPr>
              <w:t>→</w:t>
            </w:r>
            <w:r>
              <w:rPr>
                <w:rFonts w:hint="eastAsia" w:ascii="Arial" w:hAnsi="Arial" w:cs="Arial"/>
                <w:lang w:val="en-US" w:eastAsia="zh-CN"/>
              </w:rPr>
              <w:t>定标</w:t>
            </w:r>
            <w:r>
              <w:rPr>
                <w:rFonts w:hint="default" w:ascii="Arial" w:hAnsi="Arial" w:cs="Arial"/>
                <w:lang w:val="en-US" w:eastAsia="zh-CN"/>
              </w:rPr>
              <w:t>→</w:t>
            </w:r>
            <w:r>
              <w:rPr>
                <w:rFonts w:hint="eastAsia" w:ascii="Arial" w:hAnsi="Arial" w:cs="Arial"/>
                <w:lang w:val="en-US" w:eastAsia="zh-CN"/>
              </w:rPr>
              <w:t>资料整理归档</w:t>
            </w:r>
          </w:p>
          <w:p>
            <w:pPr>
              <w:rPr>
                <w:highlight w:val="yellow"/>
              </w:rPr>
            </w:pPr>
            <w:r>
              <w:rPr>
                <w:sz w:val="20"/>
              </w:rPr>
              <w:t>工程建设项目管理（工程项目财政评价、工程项目过程控制）</w:t>
            </w:r>
            <w:r>
              <w:rPr>
                <w:rFonts w:hint="eastAsia"/>
                <w:sz w:val="20"/>
                <w:lang w:eastAsia="zh-CN"/>
              </w:rPr>
              <w:t>：</w:t>
            </w:r>
            <w:r>
              <w:rPr>
                <w:rFonts w:hint="eastAsia"/>
                <w:lang w:val="en-US" w:eastAsia="zh-CN"/>
              </w:rPr>
              <w:t>接受咨询项目委托</w:t>
            </w:r>
            <w:r>
              <w:rPr>
                <w:rFonts w:hint="default" w:ascii="Arial" w:hAnsi="Arial" w:cs="Arial"/>
                <w:lang w:val="en-US" w:eastAsia="zh-CN"/>
              </w:rPr>
              <w:t>→</w:t>
            </w:r>
            <w:r>
              <w:rPr>
                <w:rFonts w:hint="eastAsia"/>
                <w:lang w:val="en-US" w:eastAsia="zh-CN"/>
              </w:rPr>
              <w:t>明确咨询标的</w:t>
            </w:r>
            <w:r>
              <w:rPr>
                <w:rFonts w:hint="default" w:ascii="Arial" w:hAnsi="Arial" w:cs="Arial"/>
                <w:lang w:val="en-US" w:eastAsia="zh-CN"/>
              </w:rPr>
              <w:t>→</w:t>
            </w:r>
            <w:r>
              <w:rPr>
                <w:rFonts w:hint="eastAsia" w:ascii="Arial" w:hAnsi="Arial" w:cs="Arial"/>
                <w:lang w:val="en-US" w:eastAsia="zh-CN"/>
              </w:rPr>
              <w:t>收集资料</w:t>
            </w:r>
            <w:r>
              <w:rPr>
                <w:rFonts w:hint="default" w:ascii="Arial" w:hAnsi="Arial" w:cs="Arial"/>
                <w:lang w:val="en-US" w:eastAsia="zh-CN"/>
              </w:rPr>
              <w:t>→</w:t>
            </w:r>
            <w:r>
              <w:rPr>
                <w:rFonts w:hint="eastAsia"/>
                <w:lang w:val="en-US" w:eastAsia="zh-CN"/>
              </w:rPr>
              <w:t>制定咨询实施方案</w:t>
            </w:r>
            <w:r>
              <w:rPr>
                <w:rFonts w:hint="default" w:ascii="Arial" w:hAnsi="Arial" w:cs="Arial"/>
                <w:lang w:val="en-US" w:eastAsia="zh-CN"/>
              </w:rPr>
              <w:t>→</w:t>
            </w:r>
            <w:r>
              <w:rPr>
                <w:rFonts w:hint="eastAsia"/>
                <w:lang w:val="en-US" w:eastAsia="zh-CN"/>
              </w:rPr>
              <w:t>开展工程造价工作</w:t>
            </w:r>
            <w:r>
              <w:rPr>
                <w:rFonts w:hint="default" w:ascii="Arial" w:hAnsi="Arial" w:cs="Arial"/>
                <w:lang w:val="en-US" w:eastAsia="zh-CN"/>
              </w:rPr>
              <w:t>→</w:t>
            </w:r>
            <w:r>
              <w:rPr>
                <w:rFonts w:hint="eastAsia" w:ascii="Arial" w:hAnsi="Arial" w:cs="Arial"/>
                <w:lang w:val="en-US" w:eastAsia="zh-CN"/>
              </w:rPr>
              <w:t>形成成果</w:t>
            </w:r>
            <w:r>
              <w:rPr>
                <w:rFonts w:hint="default" w:ascii="Arial" w:hAnsi="Arial" w:cs="Arial"/>
                <w:lang w:val="en-US" w:eastAsia="zh-CN"/>
              </w:rPr>
              <w:t>→</w:t>
            </w:r>
            <w:r>
              <w:rPr>
                <w:rFonts w:hint="eastAsia" w:ascii="Arial" w:hAnsi="Arial" w:cs="Arial"/>
                <w:lang w:val="en-US" w:eastAsia="zh-CN"/>
              </w:rPr>
              <w:t>成果审定</w:t>
            </w:r>
            <w:r>
              <w:rPr>
                <w:rFonts w:hint="default" w:ascii="Arial" w:hAnsi="Arial" w:cs="Arial"/>
                <w:lang w:val="en-US" w:eastAsia="zh-CN"/>
              </w:rPr>
              <w:t>→</w:t>
            </w:r>
            <w:r>
              <w:rPr>
                <w:rFonts w:hint="eastAsia" w:ascii="Arial" w:hAnsi="Arial" w:cs="Arial"/>
                <w:lang w:val="en-US" w:eastAsia="zh-CN"/>
              </w:rPr>
              <w:t>成果交接</w:t>
            </w:r>
            <w:r>
              <w:rPr>
                <w:rFonts w:hint="default" w:ascii="Arial" w:hAnsi="Arial" w:cs="Arial"/>
                <w:lang w:val="en-US" w:eastAsia="zh-CN"/>
              </w:rPr>
              <w:t>→</w:t>
            </w:r>
            <w:r>
              <w:rPr>
                <w:rFonts w:hint="eastAsia" w:ascii="Arial" w:hAnsi="Arial" w:cs="Arial"/>
                <w:lang w:val="en-US" w:eastAsia="zh-CN"/>
              </w:rPr>
              <w:t>资料整理归档</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2022年10月13日 上午至2022年10月13日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成都市高新区神仙树南路8号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工程造价咨询、工程招标代理、工程建设项目管理（工程项目财政评价、工程项目过程控制）。</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34.01.02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2022年01月05日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cs="Times New Roman" w:asciiTheme="minorEastAsia" w:hAnsiTheme="minorEastAsia" w:eastAsiaTheme="minorEastAsia"/>
                <w:sz w:val="20"/>
              </w:rPr>
              <w:t>四川信德工程造价咨询有限公司</w:t>
            </w:r>
            <w:r>
              <w:rPr>
                <w:rFonts w:hint="eastAsia" w:cs="Times New Roman" w:asciiTheme="minorEastAsia" w:hAnsiTheme="minorEastAsia" w:eastAsiaTheme="minorEastAsia"/>
                <w:sz w:val="20"/>
                <w:lang w:val="en-US" w:eastAsia="zh-CN"/>
              </w:rPr>
              <w:t>/</w:t>
            </w:r>
            <w:r>
              <w:rPr>
                <w:rFonts w:cs="Times New Roman" w:asciiTheme="minorEastAsia" w:hAnsiTheme="minorEastAsia" w:eastAsiaTheme="minorEastAsia"/>
                <w:sz w:val="20"/>
              </w:rPr>
              <w:t>成都市高新区神仙树南路8号</w:t>
            </w:r>
          </w:p>
        </w:tc>
        <w:tc>
          <w:tcPr>
            <w:tcW w:w="2267" w:type="dxa"/>
          </w:tcPr>
          <w:p>
            <w:pPr>
              <w:rPr>
                <w:lang w:val="de-DE" w:eastAsia="ja-JP"/>
              </w:rPr>
            </w:pPr>
            <w:r>
              <w:rPr>
                <w:rFonts w:asciiTheme="minorEastAsia" w:hAnsiTheme="minorEastAsia" w:eastAsiaTheme="minorEastAsia"/>
                <w:sz w:val="20"/>
              </w:rPr>
              <w:t>成都市高新区神仙树南路8号</w:t>
            </w:r>
          </w:p>
        </w:tc>
        <w:tc>
          <w:tcPr>
            <w:tcW w:w="571" w:type="dxa"/>
            <w:vAlign w:val="center"/>
          </w:tcPr>
          <w:p>
            <w:pPr>
              <w:rPr>
                <w:rFonts w:hint="default" w:eastAsia="宋体"/>
                <w:lang w:val="en-US" w:eastAsia="zh-CN"/>
              </w:rPr>
            </w:pPr>
            <w:r>
              <w:rPr>
                <w:rFonts w:hint="eastAsia"/>
                <w:lang w:val="en-US" w:eastAsia="zh-CN"/>
              </w:rPr>
              <w:t>36</w:t>
            </w:r>
          </w:p>
        </w:tc>
        <w:tc>
          <w:tcPr>
            <w:tcW w:w="2803" w:type="dxa"/>
            <w:vAlign w:val="center"/>
          </w:tcPr>
          <w:p>
            <w:pPr>
              <w:rPr>
                <w:lang w:eastAsia="ja-JP"/>
              </w:rPr>
            </w:pPr>
            <w:r>
              <w:rPr>
                <w:sz w:val="20"/>
              </w:rPr>
              <w:t>工程造价咨询、工程招标代理、工程建设项目管理（工程项目财政评价、工程项目过程控制）</w:t>
            </w:r>
          </w:p>
        </w:tc>
        <w:tc>
          <w:tcPr>
            <w:tcW w:w="669" w:type="dxa"/>
            <w:vAlign w:val="center"/>
          </w:tcPr>
          <w:p>
            <w:pPr>
              <w:rPr>
                <w:lang w:eastAsia="ja-JP"/>
              </w:rPr>
            </w:pPr>
            <w:r>
              <w:rPr>
                <w:rFonts w:hint="eastAsia"/>
                <w:lang w:eastAsia="ja-JP"/>
              </w:rPr>
              <w:t>GB/T19001-2016</w:t>
            </w:r>
          </w:p>
        </w:tc>
        <w:tc>
          <w:tcPr>
            <w:tcW w:w="668" w:type="dxa"/>
            <w:shd w:val="clear" w:color="auto" w:fill="FFFFFF"/>
          </w:tcPr>
          <w:p>
            <w:r>
              <w:rPr>
                <w:rFonts w:hint="eastAsia" w:ascii="黑体" w:hAnsi="黑体" w:eastAsia="黑体"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eastAsia="zh-CN"/>
        </w:rPr>
      </w:pPr>
      <w:r>
        <w:rPr>
          <w:rFonts w:hint="eastAsia"/>
        </w:rPr>
        <w:t>三、任何影响审核方案的重要事项：</w:t>
      </w:r>
      <w:r>
        <w:rPr>
          <w:rFonts w:hint="eastAsia"/>
          <w:lang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组长</w:t>
            </w:r>
          </w:p>
        </w:tc>
        <w:tc>
          <w:tcPr>
            <w:tcW w:w="711" w:type="dxa"/>
            <w:vAlign w:val="center"/>
          </w:tcPr>
          <w:p>
            <w:r>
              <w:t>男</w:t>
            </w:r>
          </w:p>
        </w:tc>
        <w:tc>
          <w:tcPr>
            <w:tcW w:w="3870" w:type="dxa"/>
            <w:vAlign w:val="center"/>
          </w:tcPr>
          <w:p>
            <w:r>
              <w:t>2020-N1QMS-1247783</w:t>
            </w:r>
          </w:p>
        </w:tc>
        <w:tc>
          <w:tcPr>
            <w:tcW w:w="2179" w:type="dxa"/>
            <w:vAlign w:val="center"/>
          </w:tcPr>
          <w:p>
            <w:r>
              <w:t>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eastAsia="zh-CN"/>
        </w:rPr>
      </w:pPr>
      <w:r>
        <w:rPr>
          <w:rFonts w:hint="eastAsia"/>
          <w:lang w:eastAsia="zh-CN"/>
        </w:rPr>
        <w:t>☑</w:t>
      </w:r>
      <w:r>
        <w:rPr>
          <w:rFonts w:hint="eastAsia"/>
        </w:rPr>
        <w:t>可能影响本次审核结论可靠性的因素：</w:t>
      </w:r>
      <w:r>
        <w:rPr>
          <w:rFonts w:hint="eastAsia"/>
          <w:lang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工程造价咨询、工程招标代理、工程建设项目管理（工程项目财政评价、工程项目过程控制）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2336" behindDoc="0" locked="0" layoutInCell="1" allowOverlap="1">
                  <wp:simplePos x="0" y="0"/>
                  <wp:positionH relativeFrom="column">
                    <wp:posOffset>144145</wp:posOffset>
                  </wp:positionH>
                  <wp:positionV relativeFrom="paragraph">
                    <wp:posOffset>77470</wp:posOffset>
                  </wp:positionV>
                  <wp:extent cx="590550" cy="269875"/>
                  <wp:effectExtent l="0" t="0" r="0" b="15875"/>
                  <wp:wrapNone/>
                  <wp:docPr id="2"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24309\AppData\Local\Temp\WeChat Files\5312dc77a33e48f7e27afd135593673.png"/>
                          <pic:cNvPicPr>
                            <a:picLocks noChangeAspect="1" noChangeArrowheads="1"/>
                          </pic:cNvPicPr>
                        </pic:nvPicPr>
                        <pic:blipFill>
                          <a:blip r:embed="rId6" cstate="print"/>
                          <a:srcRect/>
                          <a:stretch>
                            <a:fillRect/>
                          </a:stretch>
                        </pic:blipFill>
                        <pic:spPr>
                          <a:xfrm>
                            <a:off x="0" y="0"/>
                            <a:ext cx="590550" cy="269875"/>
                          </a:xfrm>
                          <a:prstGeom prst="rect">
                            <a:avLst/>
                          </a:prstGeom>
                          <a:noFill/>
                          <a:ln w="9525">
                            <a:noFill/>
                            <a:miter lim="800000"/>
                            <a:headEnd/>
                            <a:tailEnd/>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val="0"/>
                <w:bCs/>
                <w:color w:val="auto"/>
                <w:szCs w:val="21"/>
                <w:lang w:val="en-US" w:eastAsia="zh-CN"/>
              </w:rPr>
              <w:t>2022.10.13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人员能力□检测水平□合同评审□知识保密</w:t>
            </w:r>
          </w:p>
          <w:p>
            <w:pPr>
              <w:shd w:val="clear" w:color="auto" w:fill="C7DAF1" w:themeFill="text2" w:themeFillTint="32"/>
              <w:spacing w:before="40" w:after="40"/>
            </w:pPr>
            <w:r>
              <w:rPr>
                <w:rFonts w:hint="eastAsia"/>
              </w:rPr>
              <w:t>□新产品设计开发□原材料采购□外部供方控制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最高管理者制定了文件化的管理体系方针：与时俱进、争创一流、以人为本、诚信服务</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质量目标</w:t>
                  </w:r>
                </w:p>
              </w:tc>
              <w:tc>
                <w:tcPr>
                  <w:tcW w:w="3136"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计算方法</w:t>
                  </w:r>
                </w:p>
              </w:tc>
              <w:tc>
                <w:tcPr>
                  <w:tcW w:w="1350"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highlight w:val="none"/>
                    </w:rPr>
                  </w:pPr>
                  <w:r>
                    <w:rPr>
                      <w:rFonts w:hint="eastAsia" w:ascii="宋体" w:hAnsi="宋体"/>
                      <w:highlight w:val="none"/>
                    </w:rPr>
                    <w:t>合同履行率100%</w:t>
                  </w:r>
                </w:p>
              </w:tc>
              <w:tc>
                <w:tcPr>
                  <w:tcW w:w="3136" w:type="dxa"/>
                  <w:shd w:val="clear" w:color="auto" w:fill="auto"/>
                  <w:vAlign w:val="center"/>
                </w:tcPr>
                <w:p>
                  <w:pPr>
                    <w:shd w:val="clear" w:color="auto" w:fill="C7DAF1" w:themeFill="text2" w:themeFillTint="32"/>
                    <w:rPr>
                      <w:rFonts w:hint="eastAsia" w:ascii="宋体" w:hAnsi="宋体"/>
                      <w:highlight w:val="none"/>
                      <w:lang w:val="en-GB"/>
                    </w:rPr>
                  </w:pPr>
                  <w:r>
                    <w:rPr>
                      <w:rFonts w:hint="eastAsia" w:ascii="宋体" w:hAnsi="宋体"/>
                      <w:highlight w:val="none"/>
                    </w:rPr>
                    <w:t>已按期履行合同/履行期已到总合</w:t>
                  </w:r>
                </w:p>
              </w:tc>
              <w:tc>
                <w:tcPr>
                  <w:tcW w:w="1350" w:type="dxa"/>
                  <w:shd w:val="clear" w:color="auto" w:fill="auto"/>
                  <w:vAlign w:val="center"/>
                </w:tcPr>
                <w:p>
                  <w:pPr>
                    <w:shd w:val="clear" w:color="auto" w:fill="C7DAF1" w:themeFill="text2" w:themeFillTint="32"/>
                    <w:rPr>
                      <w:rFonts w:hint="eastAsia" w:ascii="宋体" w:hAnsi="宋体"/>
                      <w:highlight w:val="none"/>
                      <w:lang w:val="en-US" w:eastAsia="zh-CN"/>
                    </w:rPr>
                  </w:pPr>
                  <w:r>
                    <w:rPr>
                      <w:rFonts w:hint="eastAsia" w:ascii="宋体" w:hAnsi="宋体"/>
                      <w:highlight w:val="none"/>
                      <w:lang w:val="en-US" w:eastAsia="zh-CN"/>
                    </w:rPr>
                    <w:t>综合部</w:t>
                  </w:r>
                </w:p>
              </w:tc>
              <w:tc>
                <w:tcPr>
                  <w:tcW w:w="1774" w:type="dxa"/>
                  <w:shd w:val="clear" w:color="auto" w:fill="auto"/>
                  <w:vAlign w:val="center"/>
                </w:tcPr>
                <w:p>
                  <w:pPr>
                    <w:shd w:val="clear" w:color="auto" w:fill="C7DAF1" w:themeFill="text2" w:themeFillTint="32"/>
                    <w:rPr>
                      <w:rFonts w:hint="default" w:ascii="宋体" w:hAnsi="宋体"/>
                      <w:highlight w:val="none"/>
                      <w:lang w:val="en-US" w:eastAsia="zh-CN"/>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hint="eastAsia" w:ascii="宋体" w:hAnsi="宋体"/>
                      <w:highlight w:val="none"/>
                    </w:rPr>
                  </w:pPr>
                  <w:r>
                    <w:rPr>
                      <w:rFonts w:hint="eastAsia" w:ascii="宋体" w:hAnsi="宋体"/>
                      <w:highlight w:val="none"/>
                    </w:rPr>
                    <w:t>顾客满意率≥95%</w:t>
                  </w:r>
                </w:p>
              </w:tc>
              <w:tc>
                <w:tcPr>
                  <w:tcW w:w="3136" w:type="dxa"/>
                  <w:shd w:val="clear" w:color="auto" w:fill="auto"/>
                  <w:vAlign w:val="center"/>
                </w:tcPr>
                <w:p>
                  <w:pPr>
                    <w:shd w:val="clear" w:color="auto" w:fill="C7DAF1" w:themeFill="text2" w:themeFillTint="32"/>
                    <w:rPr>
                      <w:rFonts w:hint="eastAsia" w:ascii="宋体" w:hAnsi="宋体"/>
                      <w:highlight w:val="none"/>
                    </w:rPr>
                  </w:pPr>
                  <w:r>
                    <w:rPr>
                      <w:rFonts w:hint="eastAsia" w:ascii="宋体" w:hAnsi="宋体"/>
                      <w:highlight w:val="none"/>
                    </w:rPr>
                    <w:t>依顾客满意调查表规定进行计算</w:t>
                  </w:r>
                </w:p>
              </w:tc>
              <w:tc>
                <w:tcPr>
                  <w:tcW w:w="1350" w:type="dxa"/>
                  <w:shd w:val="clear" w:color="auto" w:fill="auto"/>
                  <w:vAlign w:val="center"/>
                </w:tcPr>
                <w:p>
                  <w:pPr>
                    <w:shd w:val="clear" w:color="auto" w:fill="C7DAF1" w:themeFill="text2" w:themeFillTint="32"/>
                    <w:rPr>
                      <w:rFonts w:hint="eastAsia" w:ascii="宋体" w:hAnsi="宋体"/>
                      <w:highlight w:val="none"/>
                    </w:rPr>
                  </w:pPr>
                  <w:r>
                    <w:rPr>
                      <w:rFonts w:hint="eastAsia" w:ascii="宋体" w:hAnsi="宋体"/>
                      <w:highlight w:val="none"/>
                      <w:lang w:val="en-US" w:eastAsia="zh-CN"/>
                    </w:rPr>
                    <w:t>综合部</w:t>
                  </w:r>
                </w:p>
              </w:tc>
              <w:tc>
                <w:tcPr>
                  <w:tcW w:w="1774" w:type="dxa"/>
                  <w:shd w:val="clear" w:color="auto" w:fill="auto"/>
                  <w:vAlign w:val="center"/>
                </w:tcPr>
                <w:p>
                  <w:pPr>
                    <w:shd w:val="clear" w:color="auto" w:fill="C7DAF1" w:themeFill="text2" w:themeFillTint="32"/>
                    <w:rPr>
                      <w:rFonts w:hint="default" w:ascii="宋体" w:hAnsi="宋体"/>
                      <w:highlight w:val="none"/>
                      <w:lang w:val="en-US" w:eastAsia="zh-CN"/>
                    </w:rPr>
                  </w:pPr>
                  <w:r>
                    <w:rPr>
                      <w:rFonts w:hint="eastAsia" w:ascii="宋体" w:hAnsi="宋体"/>
                      <w:highlight w:val="no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yellow"/>
                    </w:rPr>
                  </w:pPr>
                </w:p>
              </w:tc>
              <w:tc>
                <w:tcPr>
                  <w:tcW w:w="3136" w:type="dxa"/>
                  <w:shd w:val="clear" w:color="auto" w:fill="auto"/>
                  <w:vAlign w:val="center"/>
                </w:tcPr>
                <w:p>
                  <w:pPr>
                    <w:shd w:val="clear" w:color="auto" w:fill="C7DAF1" w:themeFill="text2" w:themeFillTint="32"/>
                    <w:rPr>
                      <w:rFonts w:ascii="宋体" w:hAnsi="宋体"/>
                      <w:highlight w:val="yellow"/>
                    </w:rPr>
                  </w:pPr>
                </w:p>
              </w:tc>
              <w:tc>
                <w:tcPr>
                  <w:tcW w:w="1350" w:type="dxa"/>
                  <w:shd w:val="clear" w:color="auto" w:fill="auto"/>
                  <w:vAlign w:val="center"/>
                </w:tcPr>
                <w:p>
                  <w:pPr>
                    <w:shd w:val="clear" w:color="auto" w:fill="C7DAF1" w:themeFill="text2" w:themeFillTint="32"/>
                    <w:rPr>
                      <w:rFonts w:ascii="宋体" w:hAnsi="宋体"/>
                      <w:highlight w:val="yellow"/>
                    </w:rPr>
                  </w:pPr>
                </w:p>
              </w:tc>
              <w:tc>
                <w:tcPr>
                  <w:tcW w:w="1774" w:type="dxa"/>
                  <w:shd w:val="clear" w:color="auto" w:fill="auto"/>
                  <w:vAlign w:val="center"/>
                </w:tcPr>
                <w:p>
                  <w:pPr>
                    <w:shd w:val="clear" w:color="auto" w:fill="C7DAF1" w:themeFill="text2" w:themeFillTint="32"/>
                    <w:jc w:val="center"/>
                    <w:rPr>
                      <w:rFonts w:ascii="宋体" w:hAnsi="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yellow"/>
                    </w:rPr>
                  </w:pPr>
                </w:p>
              </w:tc>
              <w:tc>
                <w:tcPr>
                  <w:tcW w:w="3136" w:type="dxa"/>
                  <w:shd w:val="clear" w:color="auto" w:fill="auto"/>
                  <w:vAlign w:val="center"/>
                </w:tcPr>
                <w:p>
                  <w:pPr>
                    <w:shd w:val="clear" w:color="auto" w:fill="C7DAF1" w:themeFill="text2" w:themeFillTint="32"/>
                    <w:rPr>
                      <w:rFonts w:ascii="宋体" w:hAnsi="宋体"/>
                      <w:highlight w:val="yellow"/>
                    </w:rPr>
                  </w:pPr>
                </w:p>
              </w:tc>
              <w:tc>
                <w:tcPr>
                  <w:tcW w:w="1350" w:type="dxa"/>
                  <w:shd w:val="clear" w:color="auto" w:fill="auto"/>
                  <w:vAlign w:val="center"/>
                </w:tcPr>
                <w:p>
                  <w:pPr>
                    <w:shd w:val="clear" w:color="auto" w:fill="C7DAF1" w:themeFill="text2" w:themeFillTint="32"/>
                    <w:rPr>
                      <w:rFonts w:ascii="宋体" w:hAnsi="宋体"/>
                      <w:highlight w:val="yellow"/>
                    </w:rPr>
                  </w:pPr>
                </w:p>
              </w:tc>
              <w:tc>
                <w:tcPr>
                  <w:tcW w:w="1774" w:type="dxa"/>
                  <w:shd w:val="clear" w:color="auto" w:fill="auto"/>
                  <w:vAlign w:val="center"/>
                </w:tcPr>
                <w:p>
                  <w:pPr>
                    <w:shd w:val="clear" w:color="auto" w:fill="C7DAF1" w:themeFill="text2" w:themeFillTint="32"/>
                    <w:jc w:val="center"/>
                    <w:rPr>
                      <w:rFonts w:ascii="宋体" w:hAnsi="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highlight w:val="yellow"/>
                    </w:rPr>
                  </w:pPr>
                </w:p>
              </w:tc>
              <w:tc>
                <w:tcPr>
                  <w:tcW w:w="3136" w:type="dxa"/>
                  <w:shd w:val="clear" w:color="auto" w:fill="auto"/>
                  <w:vAlign w:val="center"/>
                </w:tcPr>
                <w:p>
                  <w:pPr>
                    <w:shd w:val="clear" w:color="auto" w:fill="C7DAF1" w:themeFill="text2" w:themeFillTint="32"/>
                    <w:rPr>
                      <w:rFonts w:ascii="宋体" w:hAnsi="宋体"/>
                      <w:highlight w:val="yellow"/>
                    </w:rPr>
                  </w:pPr>
                </w:p>
              </w:tc>
              <w:tc>
                <w:tcPr>
                  <w:tcW w:w="1350" w:type="dxa"/>
                  <w:shd w:val="clear" w:color="auto" w:fill="auto"/>
                  <w:vAlign w:val="center"/>
                </w:tcPr>
                <w:p>
                  <w:pPr>
                    <w:shd w:val="clear" w:color="auto" w:fill="C7DAF1" w:themeFill="text2" w:themeFillTint="32"/>
                    <w:rPr>
                      <w:rFonts w:ascii="宋体" w:hAnsi="宋体"/>
                      <w:highlight w:val="yellow"/>
                    </w:rPr>
                  </w:pPr>
                </w:p>
              </w:tc>
              <w:tc>
                <w:tcPr>
                  <w:tcW w:w="1774" w:type="dxa"/>
                  <w:shd w:val="clear" w:color="auto" w:fill="auto"/>
                  <w:vAlign w:val="center"/>
                </w:tcPr>
                <w:p>
                  <w:pPr>
                    <w:shd w:val="clear" w:color="auto" w:fill="C7DAF1" w:themeFill="text2" w:themeFillTint="32"/>
                    <w:jc w:val="center"/>
                    <w:rPr>
                      <w:rFonts w:ascii="宋体" w:hAnsi="宋体"/>
                      <w:highlight w:val="yellow"/>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lang w:val="en-US" w:eastAsia="zh-CN"/>
              </w:rPr>
              <w:t>300</w:t>
            </w:r>
            <w:r>
              <w:rPr>
                <w:rFonts w:hint="eastAsia"/>
                <w:highlight w:val="none"/>
              </w:rPr>
              <w:t>平方米；生产车间个；库房个；实验室个；</w:t>
            </w:r>
          </w:p>
          <w:p>
            <w:pPr>
              <w:shd w:val="clear" w:color="auto" w:fill="C7DAF1" w:themeFill="text2" w:themeFillTint="32"/>
              <w:rPr>
                <w:highlight w:val="none"/>
                <w:u w:val="single"/>
              </w:rPr>
            </w:pPr>
            <w:r>
              <w:rPr>
                <w:rFonts w:hint="eastAsia"/>
                <w:highlight w:val="none"/>
              </w:rPr>
              <w:t>主要生产设备有：</w:t>
            </w:r>
            <w:r>
              <w:rPr>
                <w:rFonts w:hint="eastAsia"/>
                <w:highlight w:val="none"/>
                <w:u w:val="single"/>
              </w:rPr>
              <w:t>（列举2~4种）</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叉车</w:t>
            </w:r>
            <w:r>
              <w:rPr>
                <w:rFonts w:hint="eastAsia" w:ascii="Wingdings" w:hAnsi="Wingdings"/>
                <w:highlight w:val="none"/>
                <w:lang w:eastAsia="zh-CN"/>
              </w:rPr>
              <w:t>□</w:t>
            </w:r>
            <w:r>
              <w:rPr>
                <w:rFonts w:hint="eastAsia"/>
                <w:highlight w:val="none"/>
              </w:rPr>
              <w:t>行车</w:t>
            </w:r>
            <w:r>
              <w:rPr>
                <w:rFonts w:hint="eastAsia" w:ascii="Wingdings" w:hAnsi="Wingdings"/>
                <w:highlight w:val="none"/>
                <w:lang w:eastAsia="zh-CN"/>
              </w:rPr>
              <w:t>□</w:t>
            </w:r>
            <w:r>
              <w:rPr>
                <w:rFonts w:hint="eastAsia"/>
                <w:highlight w:val="none"/>
              </w:rPr>
              <w:t>锅炉</w:t>
            </w:r>
            <w:r>
              <w:rPr>
                <w:rFonts w:hint="eastAsia" w:ascii="Wingdings" w:hAnsi="Wingdings"/>
                <w:highlight w:val="none"/>
                <w:lang w:eastAsia="zh-CN"/>
              </w:rPr>
              <w:t>□</w:t>
            </w:r>
            <w:r>
              <w:rPr>
                <w:rFonts w:hint="eastAsia"/>
                <w:highlight w:val="none"/>
              </w:rPr>
              <w:t>电梯</w:t>
            </w:r>
            <w:r>
              <w:rPr>
                <w:rFonts w:hint="eastAsia" w:ascii="Wingdings" w:hAnsi="Wingdings"/>
                <w:highlight w:val="none"/>
                <w:lang w:eastAsia="zh-CN"/>
              </w:rPr>
              <w:t>□</w:t>
            </w:r>
            <w:r>
              <w:rPr>
                <w:rFonts w:hint="eastAsia"/>
                <w:highlight w:val="none"/>
              </w:rPr>
              <w:t>压力容器</w:t>
            </w:r>
            <w:r>
              <w:rPr>
                <w:rFonts w:hint="eastAsia" w:ascii="Wingdings" w:hAnsi="Wingdings"/>
                <w:highlight w:val="none"/>
                <w:lang w:eastAsia="zh-CN"/>
              </w:rPr>
              <w:t>□</w:t>
            </w:r>
            <w:r>
              <w:rPr>
                <w:rFonts w:hint="eastAsia"/>
                <w:highlight w:val="none"/>
              </w:rPr>
              <w:t>压力管道</w:t>
            </w:r>
            <w:r>
              <w:rPr>
                <w:rFonts w:hint="eastAsia" w:ascii="Wingdings" w:hAnsi="Wingdings"/>
                <w:highlight w:val="none"/>
                <w:lang w:eastAsia="zh-CN"/>
              </w:rPr>
              <w:t>☑</w:t>
            </w:r>
            <w:r>
              <w:rPr>
                <w:rFonts w:hint="eastAsia"/>
                <w:highlight w:val="none"/>
              </w:rPr>
              <w:t>不适用</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进行了定期检验</w:t>
            </w:r>
            <w:r>
              <w:rPr>
                <w:rFonts w:hint="eastAsia" w:ascii="Wingdings" w:hAnsi="Wingdings"/>
                <w:highlight w:val="none"/>
                <w:lang w:eastAsia="zh-CN"/>
              </w:rPr>
              <w:t>□</w:t>
            </w:r>
            <w:r>
              <w:rPr>
                <w:rFonts w:hint="eastAsia"/>
                <w:highlight w:val="none"/>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组织的</w:t>
            </w:r>
            <w:r>
              <w:rPr>
                <w:highlight w:val="none"/>
              </w:rPr>
              <w:t>监视和测量资源</w:t>
            </w:r>
            <w:r>
              <w:rPr>
                <w:rFonts w:hint="eastAsia"/>
                <w:highlight w:val="none"/>
              </w:rPr>
              <w:t>：</w:t>
            </w:r>
            <w:r>
              <w:rPr>
                <w:rFonts w:hint="eastAsia" w:ascii="Wingdings" w:hAnsi="Wingdings"/>
                <w:highlight w:val="none"/>
                <w:lang w:eastAsia="zh-CN"/>
              </w:rPr>
              <w:t>□</w:t>
            </w:r>
            <w:r>
              <w:rPr>
                <w:rFonts w:hint="eastAsia"/>
                <w:highlight w:val="none"/>
              </w:rPr>
              <w:t>计量器具</w:t>
            </w:r>
            <w:r>
              <w:rPr>
                <w:rFonts w:hint="eastAsia" w:ascii="Wingdings" w:hAnsi="Wingdings"/>
                <w:highlight w:val="none"/>
                <w:lang w:eastAsia="zh-CN"/>
              </w:rPr>
              <w:t>□</w:t>
            </w:r>
            <w:r>
              <w:rPr>
                <w:rFonts w:hint="eastAsia"/>
                <w:highlight w:val="none"/>
              </w:rPr>
              <w:t>服务流程检查表</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计量器具的</w:t>
            </w:r>
            <w:r>
              <w:rPr>
                <w:highlight w:val="none"/>
              </w:rPr>
              <w:t>测量溯源</w:t>
            </w:r>
            <w:r>
              <w:rPr>
                <w:rFonts w:hint="eastAsia"/>
                <w:highlight w:val="none"/>
              </w:rPr>
              <w:t>方法：</w:t>
            </w:r>
            <w:r>
              <w:rPr>
                <w:rFonts w:hint="eastAsia" w:ascii="Wingdings" w:hAnsi="Wingdings"/>
                <w:highlight w:val="none"/>
                <w:lang w:eastAsia="zh-CN"/>
              </w:rPr>
              <w:t>□</w:t>
            </w:r>
            <w:r>
              <w:rPr>
                <w:rFonts w:hint="eastAsia"/>
                <w:highlight w:val="none"/>
              </w:rPr>
              <w:t>自校</w:t>
            </w:r>
            <w:r>
              <w:rPr>
                <w:rFonts w:hint="eastAsia" w:ascii="Wingdings" w:hAnsi="Wingdings"/>
                <w:highlight w:val="none"/>
                <w:lang w:eastAsia="zh-CN"/>
              </w:rPr>
              <w:t>□</w:t>
            </w:r>
            <w:r>
              <w:rPr>
                <w:rFonts w:hint="eastAsia"/>
                <w:highlight w:val="none"/>
              </w:rPr>
              <w:t>外校</w:t>
            </w:r>
          </w:p>
          <w:p>
            <w:pPr>
              <w:shd w:val="clear" w:color="auto" w:fill="C7DAF1" w:themeFill="text2" w:themeFillTint="32"/>
              <w:rPr>
                <w:highlight w:val="none"/>
                <w:u w:val="single"/>
              </w:rPr>
            </w:pPr>
            <w:r>
              <w:rPr>
                <w:rFonts w:hint="eastAsia"/>
                <w:highlight w:val="none"/>
              </w:rPr>
              <w:t>国家强检的计量器具有：</w:t>
            </w:r>
            <w:r>
              <w:rPr>
                <w:rFonts w:hint="eastAsia"/>
                <w:highlight w:val="none"/>
                <w:u w:val="single"/>
              </w:rPr>
              <w:t>（列举1~4种）</w:t>
            </w:r>
          </w:p>
          <w:p>
            <w:pPr>
              <w:shd w:val="clear" w:color="auto" w:fill="C7DAF1" w:themeFill="text2" w:themeFillTint="32"/>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进行了定期校准/检定</w:t>
            </w:r>
            <w:r>
              <w:rPr>
                <w:rFonts w:hint="eastAsia" w:ascii="Wingdings" w:hAnsi="Wingdings"/>
                <w:highlight w:val="none"/>
                <w:lang w:eastAsia="zh-CN"/>
              </w:rPr>
              <w:t>□</w:t>
            </w:r>
            <w:r>
              <w:rPr>
                <w:rFonts w:hint="eastAsia"/>
                <w:highlight w:val="none"/>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rPr>
                <w:highlight w:val="none"/>
              </w:rPr>
            </w:pPr>
            <w:r>
              <w:rPr>
                <w:rFonts w:hint="eastAsia"/>
                <w:highlight w:val="none"/>
              </w:rPr>
              <w:t>对国家规定持证上岗的人员资质进行了有效的管理。</w:t>
            </w:r>
          </w:p>
          <w:p>
            <w:pPr>
              <w:shd w:val="clear" w:color="auto" w:fill="C7DAF1" w:themeFill="text2" w:themeFillTint="32"/>
              <w:rPr>
                <w:highlight w:val="none"/>
              </w:rPr>
            </w:pPr>
            <w:r>
              <w:rPr>
                <w:rFonts w:hint="eastAsia"/>
                <w:highlight w:val="none"/>
              </w:rPr>
              <w:t>特种作业人员：</w:t>
            </w:r>
            <w:r>
              <w:rPr>
                <w:rFonts w:hint="eastAsia" w:ascii="Wingdings" w:hAnsi="Wingdings"/>
                <w:highlight w:val="none"/>
                <w:lang w:eastAsia="zh-CN"/>
              </w:rPr>
              <w:t>□</w:t>
            </w:r>
            <w:r>
              <w:rPr>
                <w:rFonts w:hint="eastAsia"/>
                <w:highlight w:val="none"/>
              </w:rPr>
              <w:t>电工</w:t>
            </w:r>
            <w:r>
              <w:rPr>
                <w:rFonts w:hint="eastAsia" w:ascii="Wingdings" w:hAnsi="Wingdings"/>
                <w:highlight w:val="none"/>
                <w:lang w:eastAsia="zh-CN"/>
              </w:rPr>
              <w:t>□</w:t>
            </w:r>
            <w:r>
              <w:rPr>
                <w:rFonts w:hint="eastAsia"/>
                <w:highlight w:val="none"/>
              </w:rPr>
              <w:t>焊工</w:t>
            </w:r>
            <w:r>
              <w:rPr>
                <w:rFonts w:hint="eastAsia" w:ascii="Wingdings" w:hAnsi="Wingdings"/>
                <w:highlight w:val="none"/>
                <w:lang w:eastAsia="zh-CN"/>
              </w:rPr>
              <w:t>□</w:t>
            </w:r>
            <w:r>
              <w:rPr>
                <w:rFonts w:hint="eastAsia"/>
                <w:highlight w:val="none"/>
              </w:rPr>
              <w:t>危化品作业</w:t>
            </w:r>
            <w:r>
              <w:rPr>
                <w:rFonts w:hint="eastAsia" w:ascii="Wingdings" w:hAnsi="Wingdings"/>
                <w:highlight w:val="none"/>
                <w:lang w:eastAsia="zh-CN"/>
              </w:rPr>
              <w:t>□</w:t>
            </w:r>
            <w:r>
              <w:rPr>
                <w:rFonts w:hint="eastAsia"/>
                <w:highlight w:val="none"/>
              </w:rPr>
              <w:t>制冷工</w:t>
            </w:r>
            <w:r>
              <w:rPr>
                <w:rFonts w:hint="eastAsia" w:ascii="Wingdings" w:hAnsi="Wingdings"/>
                <w:highlight w:val="none"/>
                <w:lang w:eastAsia="zh-CN"/>
              </w:rPr>
              <w:t>□</w:t>
            </w:r>
            <w:r>
              <w:rPr>
                <w:rFonts w:hint="eastAsia"/>
                <w:highlight w:val="none"/>
              </w:rPr>
              <w:t>其他</w:t>
            </w:r>
          </w:p>
          <w:p>
            <w:pPr>
              <w:shd w:val="clear" w:color="auto" w:fill="C7DAF1" w:themeFill="text2" w:themeFillTint="32"/>
            </w:pPr>
            <w:r>
              <w:rPr>
                <w:rFonts w:hint="eastAsia"/>
                <w:highlight w:val="none"/>
              </w:rPr>
              <w:t>特种设备作业人员：</w:t>
            </w:r>
            <w:r>
              <w:rPr>
                <w:rFonts w:hint="eastAsia" w:ascii="Wingdings" w:hAnsi="Wingdings"/>
                <w:highlight w:val="none"/>
                <w:lang w:eastAsia="zh-CN"/>
              </w:rPr>
              <w:t>□</w:t>
            </w:r>
            <w:r>
              <w:rPr>
                <w:rFonts w:hint="eastAsia"/>
                <w:highlight w:val="none"/>
              </w:rPr>
              <w:t>叉车工</w:t>
            </w:r>
            <w:r>
              <w:rPr>
                <w:rFonts w:hint="eastAsia" w:ascii="Wingdings" w:hAnsi="Wingdings"/>
                <w:highlight w:val="none"/>
                <w:lang w:eastAsia="zh-CN"/>
              </w:rPr>
              <w:t>□</w:t>
            </w:r>
            <w:r>
              <w:rPr>
                <w:rFonts w:hint="eastAsia"/>
                <w:highlight w:val="none"/>
              </w:rPr>
              <w:t>行车工</w:t>
            </w:r>
            <w:r>
              <w:rPr>
                <w:rFonts w:hint="eastAsia" w:ascii="Wingdings" w:hAnsi="Wingdings"/>
                <w:highlight w:val="none"/>
                <w:lang w:eastAsia="zh-CN"/>
              </w:rPr>
              <w:t>□</w:t>
            </w:r>
            <w:r>
              <w:rPr>
                <w:rFonts w:hint="eastAsia"/>
                <w:highlight w:val="none"/>
              </w:rPr>
              <w:t>锅炉工</w:t>
            </w:r>
            <w:r>
              <w:rPr>
                <w:rFonts w:hint="eastAsia" w:ascii="Wingdings" w:hAnsi="Wingdings"/>
                <w:highlight w:val="none"/>
                <w:lang w:eastAsia="zh-CN"/>
              </w:rPr>
              <w:t>□</w:t>
            </w:r>
            <w:r>
              <w:rPr>
                <w:rFonts w:hint="eastAsia"/>
                <w:highlight w:val="none"/>
              </w:rPr>
              <w:t>压力容器</w:t>
            </w:r>
            <w:r>
              <w:rPr>
                <w:rFonts w:hint="eastAsia" w:ascii="Wingdings" w:hAnsi="Wingdings"/>
                <w:highlight w:val="none"/>
                <w:lang w:eastAsia="zh-CN"/>
              </w:rPr>
              <w:t>□</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8"/>
              <w:gridCol w:w="2299"/>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8" w:type="dxa"/>
                </w:tcPr>
                <w:p>
                  <w:pPr>
                    <w:shd w:val="clear" w:color="auto" w:fill="C7DAF1" w:themeFill="text2" w:themeFillTint="32"/>
                    <w:jc w:val="left"/>
                    <w:rPr>
                      <w:highlight w:val="none"/>
                    </w:rPr>
                  </w:pPr>
                  <w:r>
                    <w:rPr>
                      <w:rFonts w:hint="eastAsia"/>
                      <w:highlight w:val="none"/>
                    </w:rPr>
                    <w:t>产品/服务名称</w:t>
                  </w:r>
                </w:p>
              </w:tc>
              <w:tc>
                <w:tcPr>
                  <w:tcW w:w="2299" w:type="dxa"/>
                </w:tcPr>
                <w:p>
                  <w:pPr>
                    <w:shd w:val="clear" w:color="auto" w:fill="C7DAF1" w:themeFill="text2" w:themeFillTint="32"/>
                    <w:jc w:val="left"/>
                    <w:rPr>
                      <w:highlight w:val="none"/>
                    </w:rPr>
                  </w:pPr>
                  <w:r>
                    <w:rPr>
                      <w:rFonts w:hint="eastAsia"/>
                      <w:highlight w:val="none"/>
                    </w:rPr>
                    <w:t>关键过程</w:t>
                  </w:r>
                </w:p>
              </w:tc>
              <w:tc>
                <w:tcPr>
                  <w:tcW w:w="3265" w:type="dxa"/>
                </w:tcPr>
                <w:p>
                  <w:pPr>
                    <w:shd w:val="clear" w:color="auto" w:fill="C7DAF1" w:themeFill="text2" w:themeFillTint="32"/>
                    <w:jc w:val="left"/>
                    <w:rPr>
                      <w:highlight w:val="none"/>
                    </w:rPr>
                  </w:pPr>
                  <w:r>
                    <w:rPr>
                      <w:rFonts w:hint="eastAsia"/>
                      <w:highlight w:val="none"/>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58" w:type="dxa"/>
                </w:tcPr>
                <w:p>
                  <w:pPr>
                    <w:shd w:val="clear" w:color="auto" w:fill="C7DAF1" w:themeFill="text2" w:themeFillTint="32"/>
                    <w:jc w:val="left"/>
                    <w:rPr>
                      <w:highlight w:val="none"/>
                    </w:rPr>
                  </w:pPr>
                  <w:r>
                    <w:rPr>
                      <w:sz w:val="20"/>
                      <w:highlight w:val="none"/>
                    </w:rPr>
                    <w:t>工程造价咨询、工程招标代理、工程建设项目管理（工程项目财政评价、工程项目过程控制）。</w:t>
                  </w:r>
                </w:p>
              </w:tc>
              <w:tc>
                <w:tcPr>
                  <w:tcW w:w="2299" w:type="dxa"/>
                </w:tcPr>
                <w:p>
                  <w:pPr>
                    <w:shd w:val="clear" w:color="auto" w:fill="C7DAF1" w:themeFill="text2" w:themeFillTint="32"/>
                    <w:jc w:val="left"/>
                    <w:rPr>
                      <w:rFonts w:hint="default" w:eastAsia="宋体"/>
                      <w:highlight w:val="none"/>
                      <w:lang w:val="en-US" w:eastAsia="zh-CN"/>
                    </w:rPr>
                  </w:pPr>
                  <w:r>
                    <w:rPr>
                      <w:rFonts w:hint="eastAsia"/>
                      <w:highlight w:val="none"/>
                      <w:lang w:val="en-US" w:eastAsia="zh-CN"/>
                    </w:rPr>
                    <w:t>咨询服务过程</w:t>
                  </w:r>
                </w:p>
              </w:tc>
              <w:tc>
                <w:tcPr>
                  <w:tcW w:w="3265" w:type="dxa"/>
                </w:tcPr>
                <w:p>
                  <w:pPr>
                    <w:shd w:val="clear" w:color="auto" w:fill="C7DAF1" w:themeFill="text2" w:themeFillTint="32"/>
                    <w:jc w:val="left"/>
                    <w:rPr>
                      <w:rFonts w:hint="default" w:eastAsia="宋体"/>
                      <w:highlight w:val="none"/>
                      <w:lang w:val="en-US" w:eastAsia="zh-CN"/>
                    </w:rPr>
                  </w:pPr>
                  <w:r>
                    <w:rPr>
                      <w:rFonts w:hint="eastAsia"/>
                      <w:highlight w:val="none"/>
                      <w:lang w:val="en-US" w:eastAsia="zh-CN"/>
                    </w:rPr>
                    <w:t>服务流程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8" w:type="dxa"/>
                </w:tcPr>
                <w:p>
                  <w:pPr>
                    <w:shd w:val="clear" w:color="auto" w:fill="C7DAF1" w:themeFill="text2" w:themeFillTint="32"/>
                    <w:jc w:val="left"/>
                    <w:rPr>
                      <w:highlight w:val="yellow"/>
                    </w:rPr>
                  </w:pPr>
                </w:p>
              </w:tc>
              <w:tc>
                <w:tcPr>
                  <w:tcW w:w="2299" w:type="dxa"/>
                </w:tcPr>
                <w:p>
                  <w:pPr>
                    <w:shd w:val="clear" w:color="auto" w:fill="C7DAF1" w:themeFill="text2" w:themeFillTint="32"/>
                    <w:jc w:val="left"/>
                    <w:rPr>
                      <w:highlight w:val="yellow"/>
                    </w:rPr>
                  </w:pPr>
                </w:p>
              </w:tc>
              <w:tc>
                <w:tcPr>
                  <w:tcW w:w="3265" w:type="dxa"/>
                </w:tcPr>
                <w:p>
                  <w:pPr>
                    <w:shd w:val="clear" w:color="auto" w:fill="C7DAF1" w:themeFill="text2" w:themeFillTint="32"/>
                    <w:jc w:val="left"/>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58" w:type="dxa"/>
                </w:tcPr>
                <w:p>
                  <w:pPr>
                    <w:shd w:val="clear" w:color="auto" w:fill="C7DAF1" w:themeFill="text2" w:themeFillTint="32"/>
                    <w:jc w:val="left"/>
                    <w:rPr>
                      <w:highlight w:val="yellow"/>
                    </w:rPr>
                  </w:pPr>
                </w:p>
              </w:tc>
              <w:tc>
                <w:tcPr>
                  <w:tcW w:w="2299" w:type="dxa"/>
                </w:tcPr>
                <w:p>
                  <w:pPr>
                    <w:shd w:val="clear" w:color="auto" w:fill="C7DAF1" w:themeFill="text2" w:themeFillTint="32"/>
                    <w:jc w:val="left"/>
                    <w:rPr>
                      <w:highlight w:val="yellow"/>
                    </w:rPr>
                  </w:pPr>
                </w:p>
              </w:tc>
              <w:tc>
                <w:tcPr>
                  <w:tcW w:w="3265" w:type="dxa"/>
                </w:tcPr>
                <w:p>
                  <w:pPr>
                    <w:shd w:val="clear" w:color="auto" w:fill="C7DAF1" w:themeFill="text2" w:themeFillTint="32"/>
                    <w:jc w:val="left"/>
                    <w:rPr>
                      <w:highlight w:val="yellow"/>
                    </w:rPr>
                  </w:pPr>
                </w:p>
              </w:tc>
            </w:tr>
          </w:tbl>
          <w:p>
            <w:pPr>
              <w:shd w:val="clear" w:color="auto" w:fill="C7DAF1" w:themeFill="text2" w:themeFillTint="32"/>
              <w:jc w:val="left"/>
              <w:rPr>
                <w:highlight w:val="none"/>
              </w:rPr>
            </w:pPr>
          </w:p>
          <w:p>
            <w:pPr>
              <w:shd w:val="clear" w:color="auto" w:fill="C7DAF1" w:themeFill="text2" w:themeFillTint="32"/>
              <w:jc w:val="left"/>
              <w:rPr>
                <w:highlight w:val="none"/>
              </w:rPr>
            </w:pPr>
            <w:r>
              <w:rPr>
                <w:rFonts w:hint="eastAsia"/>
                <w:highlight w:val="none"/>
              </w:rPr>
              <w:t>需要确认的过程：</w:t>
            </w:r>
            <w:r>
              <w:rPr>
                <w:rFonts w:hint="eastAsia"/>
                <w:highlight w:val="none"/>
                <w:lang w:val="en-US" w:eastAsia="zh-CN"/>
              </w:rPr>
              <w:t>咨询服务过程</w:t>
            </w:r>
            <w:r>
              <w:rPr>
                <w:rFonts w:hint="eastAsia"/>
                <w:highlight w:val="none"/>
              </w:rPr>
              <w:t>，</w:t>
            </w:r>
          </w:p>
          <w:p>
            <w:pPr>
              <w:shd w:val="clear" w:color="auto" w:fill="C7DAF1" w:themeFill="text2" w:themeFillTint="32"/>
              <w:jc w:val="left"/>
              <w:rPr>
                <w:highlight w:val="none"/>
              </w:rPr>
            </w:pPr>
            <w:r>
              <w:rPr>
                <w:rFonts w:hint="eastAsia" w:ascii="Wingdings" w:hAnsi="Wingdings"/>
                <w:highlight w:val="none"/>
                <w:lang w:eastAsia="zh-CN"/>
              </w:rPr>
              <w:t>☑</w:t>
            </w:r>
            <w:r>
              <w:rPr>
                <w:rFonts w:hint="eastAsia"/>
                <w:highlight w:val="none"/>
              </w:rPr>
              <w:t>进行了有效的确认</w:t>
            </w:r>
            <w:r>
              <w:rPr>
                <w:rFonts w:hint="eastAsia" w:ascii="Wingdings" w:hAnsi="Wingdings"/>
                <w:highlight w:val="none"/>
                <w:lang w:eastAsia="zh-CN"/>
              </w:rPr>
              <w:t>□</w:t>
            </w:r>
            <w:r>
              <w:rPr>
                <w:rFonts w:hint="eastAsia"/>
                <w:highlight w:val="none"/>
              </w:rPr>
              <w:t>存在不足，说明。</w:t>
            </w:r>
          </w:p>
          <w:p>
            <w:pPr>
              <w:shd w:val="clear" w:color="auto" w:fill="C7DAF1" w:themeFill="text2" w:themeFillTint="32"/>
              <w:jc w:val="left"/>
              <w:rPr>
                <w:highlight w:val="none"/>
              </w:rPr>
            </w:pPr>
          </w:p>
          <w:p>
            <w:pPr>
              <w:shd w:val="clear" w:color="auto" w:fill="C7DAF1" w:themeFill="text2" w:themeFillTint="32"/>
              <w:jc w:val="left"/>
            </w:pPr>
            <w:r>
              <w:rPr>
                <w:rFonts w:hint="eastAsia"/>
                <w:highlight w:val="none"/>
              </w:rPr>
              <w:t>对生产和服务提供过程的控制</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w:t>
            </w:r>
            <w:r>
              <w:rPr>
                <w:rFonts w:hint="eastAsia"/>
                <w:highlight w:val="none"/>
              </w:rPr>
              <w:t>于</w:t>
            </w:r>
            <w:r>
              <w:rPr>
                <w:rFonts w:hint="eastAsia"/>
                <w:highlight w:val="none"/>
                <w:lang w:val="en-US" w:eastAsia="zh-CN"/>
              </w:rPr>
              <w:t>2022</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10</w:t>
            </w:r>
            <w:r>
              <w:rPr>
                <w:rFonts w:hint="eastAsia"/>
                <w:highlight w:val="none"/>
              </w:rPr>
              <w:t>日实施了质量管理体系内部审核，对质量管理体系的符合性和有效性进行了审核。内审发现的</w:t>
            </w:r>
            <w:r>
              <w:rPr>
                <w:rFonts w:hint="eastAsia"/>
                <w:highlight w:val="none"/>
                <w:lang w:val="en-US" w:eastAsia="zh-CN"/>
              </w:rPr>
              <w:t>1</w:t>
            </w:r>
            <w:r>
              <w:rPr>
                <w:rFonts w:hint="eastAsia"/>
                <w:highlight w:val="none"/>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w:t>
            </w:r>
            <w:r>
              <w:rPr>
                <w:rFonts w:hint="eastAsia"/>
                <w:highlight w:val="none"/>
              </w:rPr>
              <w:t>时间间隔，在</w:t>
            </w:r>
            <w:r>
              <w:rPr>
                <w:rFonts w:hint="eastAsia"/>
                <w:highlight w:val="none"/>
                <w:lang w:val="en-US" w:eastAsia="zh-CN"/>
              </w:rPr>
              <w:t>2022</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20</w:t>
            </w:r>
            <w:r>
              <w:rPr>
                <w:rFonts w:hint="eastAsia"/>
                <w:highlight w:val="none"/>
              </w:rPr>
              <w:t>日对组织的质量</w:t>
            </w:r>
            <w:r>
              <w:rPr>
                <w:rFonts w:hint="eastAsia"/>
              </w:rPr>
              <w:t>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rPr>
          <w:highlight w:val="none"/>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3</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tcBorders>
              <w:bottom w:val="single" w:color="auto" w:sz="4" w:space="0"/>
            </w:tcBorders>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1</w:t>
            </w: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yellow"/>
                <w:lang w:eastAsia="ja-JP"/>
              </w:rPr>
            </w:pPr>
          </w:p>
        </w:tc>
        <w:tc>
          <w:tcPr>
            <w:tcW w:w="650" w:type="dxa"/>
            <w:shd w:val="pct25" w:color="auto" w:fill="auto"/>
            <w:vAlign w:val="center"/>
          </w:tcPr>
          <w:p>
            <w:pPr>
              <w:shd w:val="clear" w:color="auto" w:fill="C7DAF1" w:themeFill="text2" w:themeFillTint="32"/>
              <w:rPr>
                <w:highlight w:val="yellow"/>
                <w:lang w:eastAsia="ja-JP"/>
              </w:rPr>
            </w:pPr>
          </w:p>
        </w:tc>
        <w:tc>
          <w:tcPr>
            <w:tcW w:w="650" w:type="dxa"/>
            <w:shd w:val="pct25" w:color="auto" w:fill="auto"/>
            <w:vAlign w:val="center"/>
          </w:tcPr>
          <w:p>
            <w:pPr>
              <w:shd w:val="clear" w:color="auto" w:fill="C7DAF1" w:themeFill="text2" w:themeFillTint="32"/>
              <w:rPr>
                <w:highlight w:val="yellow"/>
                <w:lang w:eastAsia="ja-JP"/>
              </w:rPr>
            </w:pPr>
          </w:p>
        </w:tc>
        <w:tc>
          <w:tcPr>
            <w:tcW w:w="649" w:type="dxa"/>
            <w:shd w:val="pct25" w:color="auto" w:fill="auto"/>
            <w:vAlign w:val="center"/>
          </w:tcPr>
          <w:p>
            <w:pPr>
              <w:shd w:val="clear" w:color="auto" w:fill="C7DAF1" w:themeFill="text2" w:themeFillTint="32"/>
              <w:rPr>
                <w:highlight w:val="yellow"/>
                <w:lang w:eastAsia="ja-JP"/>
              </w:rPr>
            </w:pPr>
          </w:p>
        </w:tc>
        <w:tc>
          <w:tcPr>
            <w:tcW w:w="650" w:type="dxa"/>
            <w:shd w:val="pct25" w:color="auto" w:fill="auto"/>
            <w:vAlign w:val="center"/>
          </w:tcPr>
          <w:p>
            <w:pPr>
              <w:shd w:val="clear" w:color="auto" w:fill="C7DAF1" w:themeFill="text2" w:themeFillTint="32"/>
              <w:rPr>
                <w:highlight w:val="yellow"/>
                <w:lang w:eastAsia="ja-JP"/>
              </w:rPr>
            </w:pPr>
          </w:p>
        </w:tc>
        <w:tc>
          <w:tcPr>
            <w:tcW w:w="650" w:type="dxa"/>
            <w:shd w:val="pct25" w:color="auto" w:fill="auto"/>
            <w:vAlign w:val="center"/>
          </w:tcPr>
          <w:p>
            <w:pPr>
              <w:shd w:val="clear" w:color="auto" w:fill="C7DAF1" w:themeFill="text2"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shd w:val="pct25" w:color="auto" w:fill="auto"/>
            <w:vAlign w:val="center"/>
          </w:tcPr>
          <w:p>
            <w:pPr>
              <w:shd w:val="clear" w:color="auto" w:fill="C7DAF1" w:themeFill="text2" w:themeFillTint="32"/>
              <w:rPr>
                <w:highlight w:val="yellow"/>
                <w:lang w:eastAsia="ja-JP"/>
              </w:rPr>
            </w:pPr>
          </w:p>
        </w:tc>
        <w:tc>
          <w:tcPr>
            <w:tcW w:w="650" w:type="dxa"/>
            <w:shd w:val="pct25" w:color="auto" w:fill="auto"/>
            <w:vAlign w:val="center"/>
          </w:tcPr>
          <w:p>
            <w:pPr>
              <w:shd w:val="clear" w:color="auto" w:fill="C7DAF1" w:themeFill="text2" w:themeFillTint="32"/>
              <w:rPr>
                <w:highlight w:val="yellow"/>
                <w:lang w:eastAsia="ja-JP"/>
              </w:rPr>
            </w:pPr>
          </w:p>
        </w:tc>
        <w:tc>
          <w:tcPr>
            <w:tcW w:w="650" w:type="dxa"/>
            <w:shd w:val="pct25" w:color="auto" w:fill="auto"/>
            <w:vAlign w:val="center"/>
          </w:tcPr>
          <w:p>
            <w:pPr>
              <w:shd w:val="clear" w:color="auto" w:fill="C7DAF1" w:themeFill="text2" w:themeFillTint="32"/>
              <w:rPr>
                <w:highlight w:val="yellow"/>
                <w:lang w:eastAsia="ja-JP"/>
              </w:rPr>
            </w:pPr>
          </w:p>
        </w:tc>
        <w:tc>
          <w:tcPr>
            <w:tcW w:w="649" w:type="dxa"/>
            <w:shd w:val="pct25" w:color="auto" w:fill="auto"/>
            <w:vAlign w:val="center"/>
          </w:tcPr>
          <w:p>
            <w:pPr>
              <w:shd w:val="clear" w:color="auto" w:fill="C7DAF1" w:themeFill="text2" w:themeFillTint="32"/>
              <w:rPr>
                <w:highlight w:val="yellow"/>
                <w:lang w:eastAsia="ja-JP"/>
              </w:rPr>
            </w:pPr>
          </w:p>
        </w:tc>
        <w:tc>
          <w:tcPr>
            <w:tcW w:w="650" w:type="dxa"/>
            <w:shd w:val="pct25" w:color="auto" w:fill="auto"/>
            <w:vAlign w:val="center"/>
          </w:tcPr>
          <w:p>
            <w:pPr>
              <w:shd w:val="clear" w:color="auto" w:fill="C7DAF1" w:themeFill="text2" w:themeFillTint="32"/>
              <w:rPr>
                <w:highlight w:val="yellow"/>
                <w:lang w:eastAsia="ja-JP"/>
              </w:rPr>
            </w:pPr>
          </w:p>
        </w:tc>
        <w:tc>
          <w:tcPr>
            <w:tcW w:w="650" w:type="dxa"/>
            <w:shd w:val="pct25" w:color="auto" w:fill="auto"/>
            <w:vAlign w:val="center"/>
          </w:tcPr>
          <w:p>
            <w:pPr>
              <w:shd w:val="clear" w:color="auto" w:fill="C7DAF1" w:themeFill="text2" w:themeFillTint="32"/>
              <w:rPr>
                <w:highlight w:val="yellow"/>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bookmarkStart w:id="34" w:name="_GoBack"/>
      <w:bookmarkEnd w:id="34"/>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I4MWU3MDczOTkxMDk2MzJiODM1NDdkNjA1ZDJkNjkifQ=="/>
  </w:docVars>
  <w:rsids>
    <w:rsidRoot w:val="00000000"/>
    <w:rsid w:val="0053276A"/>
    <w:rsid w:val="049C642E"/>
    <w:rsid w:val="08DD4532"/>
    <w:rsid w:val="0F1A028E"/>
    <w:rsid w:val="0F334EAC"/>
    <w:rsid w:val="114710E3"/>
    <w:rsid w:val="17E7717C"/>
    <w:rsid w:val="1DB95116"/>
    <w:rsid w:val="1DD3267D"/>
    <w:rsid w:val="1E562965"/>
    <w:rsid w:val="1F923E71"/>
    <w:rsid w:val="210743EB"/>
    <w:rsid w:val="21767CA4"/>
    <w:rsid w:val="23384D2F"/>
    <w:rsid w:val="24E743D1"/>
    <w:rsid w:val="266B0F78"/>
    <w:rsid w:val="2D8B25AD"/>
    <w:rsid w:val="2D947006"/>
    <w:rsid w:val="303B7C0D"/>
    <w:rsid w:val="318F4926"/>
    <w:rsid w:val="35415CC5"/>
    <w:rsid w:val="36826596"/>
    <w:rsid w:val="38877E93"/>
    <w:rsid w:val="38C20ECB"/>
    <w:rsid w:val="393D0552"/>
    <w:rsid w:val="3D3B749E"/>
    <w:rsid w:val="434A3F97"/>
    <w:rsid w:val="472E3BD0"/>
    <w:rsid w:val="4A930987"/>
    <w:rsid w:val="4C041E93"/>
    <w:rsid w:val="4D007DBC"/>
    <w:rsid w:val="4F7725B8"/>
    <w:rsid w:val="51FD2B1C"/>
    <w:rsid w:val="526D7CA2"/>
    <w:rsid w:val="57527466"/>
    <w:rsid w:val="58871392"/>
    <w:rsid w:val="59561490"/>
    <w:rsid w:val="5A5D684E"/>
    <w:rsid w:val="5BCC5A39"/>
    <w:rsid w:val="5D335644"/>
    <w:rsid w:val="65E70F67"/>
    <w:rsid w:val="69D361E5"/>
    <w:rsid w:val="6CB0280D"/>
    <w:rsid w:val="6E273C36"/>
    <w:rsid w:val="6F1654F2"/>
    <w:rsid w:val="706A7177"/>
    <w:rsid w:val="73C80D84"/>
    <w:rsid w:val="750E0A19"/>
    <w:rsid w:val="75B3511C"/>
    <w:rsid w:val="79C43D9C"/>
    <w:rsid w:val="7BBF481B"/>
    <w:rsid w:val="7DE93DD1"/>
    <w:rsid w:val="7ED06D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uiPriority w:val="0"/>
    <w:pPr>
      <w:spacing w:after="120"/>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8075</Words>
  <Characters>8594</Characters>
  <Lines>150</Lines>
  <Paragraphs>42</Paragraphs>
  <TotalTime>2</TotalTime>
  <ScaleCrop>false</ScaleCrop>
  <LinksUpToDate>false</LinksUpToDate>
  <CharactersWithSpaces>8669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2022-10-13T15:32:14Z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