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4" w:name="_GoBack"/>
      <w:bookmarkEnd w:id="4"/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8"/>
        <w:gridCol w:w="129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四川信德工程造价咨询有限公司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34.01.02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t>工程造价咨</w:t>
            </w:r>
            <w:r>
              <w:rPr>
                <w:rFonts w:ascii="Times New Roman" w:hAnsi="Times New Roman" w:eastAsia="宋体" w:cs="Times New Roman"/>
              </w:rPr>
              <w:t>询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:接受咨询项目委托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明确咨询标的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收集资料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制定咨询实施方案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开展工程造价工作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形成成果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成果审定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成果交接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资料整理归档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工程招标代理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接受招标委托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发布招标公告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进行资格预审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发放招标文件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答疑会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组建评标委员会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开标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评标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定标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资料整理归档</w:t>
            </w:r>
          </w:p>
          <w:p>
            <w:pPr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</w:rPr>
              <w:t>工程建设项目管理（工程项目财政评价、工程项目过程控制）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接受咨询项目委托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明确咨询标的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收集资料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制定咨询实施方案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开展工程造价工作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形成成果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成果审定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成果交接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资料整理归档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特殊过程：咨询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服务过程，通过过程服务控制措施。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政府采购公开（邀请）招标操作规程（</w:t>
            </w:r>
            <w:r>
              <w:rPr>
                <w:rFonts w:eastAsia="宋体"/>
                <w:b w:val="0"/>
                <w:sz w:val="21"/>
                <w:szCs w:val="21"/>
              </w:rPr>
              <w:fldChar w:fldCharType="begin"/>
            </w:r>
            <w:r>
              <w:rPr>
                <w:rFonts w:eastAsia="宋体"/>
                <w:b w:val="0"/>
                <w:sz w:val="21"/>
                <w:szCs w:val="21"/>
              </w:rPr>
              <w:instrText xml:space="preserve"> HYPERLINK "http://www.csres.com/detail/266747.html" \t "http://www.csres.com/_blank" </w:instrText>
            </w:r>
            <w:r>
              <w:rPr>
                <w:rFonts w:eastAsia="宋体"/>
                <w:b w:val="0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/>
                <w:b w:val="0"/>
                <w:sz w:val="21"/>
                <w:szCs w:val="21"/>
              </w:rPr>
              <w:t>DB51/T 1945-2014</w:t>
            </w:r>
            <w:r>
              <w:rPr>
                <w:rFonts w:ascii="宋体" w:hAnsi="宋体" w:eastAsia="宋体"/>
                <w:b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）、工程建设公开（邀请）招标操作规程（</w:t>
            </w:r>
            <w:r>
              <w:rPr>
                <w:rFonts w:eastAsia="宋体"/>
                <w:b w:val="0"/>
                <w:sz w:val="21"/>
                <w:szCs w:val="21"/>
              </w:rPr>
              <w:fldChar w:fldCharType="begin"/>
            </w:r>
            <w:r>
              <w:rPr>
                <w:rFonts w:eastAsia="宋体"/>
                <w:b w:val="0"/>
                <w:sz w:val="21"/>
                <w:szCs w:val="21"/>
              </w:rPr>
              <w:instrText xml:space="preserve"> HYPERLINK "http://www.csres.com/detail/266750.html" \t "http://www.csres.com/_blank" </w:instrText>
            </w:r>
            <w:r>
              <w:rPr>
                <w:rFonts w:eastAsia="宋体"/>
                <w:b w:val="0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/>
                <w:b w:val="0"/>
                <w:sz w:val="21"/>
                <w:szCs w:val="21"/>
              </w:rPr>
              <w:t>DB51/T 1948-2014</w:t>
            </w:r>
            <w:r>
              <w:rPr>
                <w:rFonts w:ascii="宋体" w:hAnsi="宋体" w:eastAsia="宋体"/>
                <w:b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）、房屋建筑和市政工程项目电子招标投标系统技术标准（</w:t>
            </w:r>
            <w:r>
              <w:rPr>
                <w:rFonts w:eastAsia="宋体"/>
                <w:b w:val="0"/>
                <w:sz w:val="21"/>
                <w:szCs w:val="21"/>
              </w:rPr>
              <w:fldChar w:fldCharType="begin"/>
            </w:r>
            <w:r>
              <w:rPr>
                <w:rFonts w:eastAsia="宋体"/>
                <w:b w:val="0"/>
                <w:sz w:val="21"/>
                <w:szCs w:val="21"/>
              </w:rPr>
              <w:instrText xml:space="preserve"> HYPERLINK "http://www.csres.com/detail/295395.html" \t "http://www.csres.com/_blank" </w:instrText>
            </w:r>
            <w:r>
              <w:rPr>
                <w:rFonts w:eastAsia="宋体"/>
                <w:b w:val="0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/>
                <w:b w:val="0"/>
                <w:sz w:val="21"/>
                <w:szCs w:val="21"/>
              </w:rPr>
              <w:t>JGJ/T 393-2017</w:t>
            </w:r>
            <w:r>
              <w:rPr>
                <w:rFonts w:ascii="宋体" w:hAnsi="宋体" w:eastAsia="宋体"/>
                <w:b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）、国际货运代理作业规范（</w:t>
            </w:r>
            <w:r>
              <w:rPr>
                <w:rFonts w:eastAsia="宋体"/>
                <w:b w:val="0"/>
                <w:sz w:val="21"/>
                <w:szCs w:val="21"/>
              </w:rPr>
              <w:fldChar w:fldCharType="begin"/>
            </w:r>
            <w:r>
              <w:rPr>
                <w:rFonts w:eastAsia="宋体"/>
                <w:b w:val="0"/>
                <w:sz w:val="21"/>
                <w:szCs w:val="21"/>
              </w:rPr>
              <w:instrText xml:space="preserve"> HYPERLINK "http://www.csres.com/detail/192974.html" \t "http://www.csres.com/_blank" </w:instrText>
            </w:r>
            <w:r>
              <w:rPr>
                <w:rFonts w:eastAsia="宋体"/>
                <w:b w:val="0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/>
                <w:b w:val="0"/>
                <w:sz w:val="21"/>
                <w:szCs w:val="21"/>
              </w:rPr>
              <w:t>GB/T 22151-2008</w:t>
            </w:r>
            <w:r>
              <w:rPr>
                <w:rFonts w:ascii="宋体" w:hAnsi="宋体" w:eastAsia="宋体"/>
                <w:b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）、国际货运代理服务质量要求(</w:t>
            </w:r>
            <w:r>
              <w:rPr>
                <w:rFonts w:eastAsia="宋体"/>
                <w:b w:val="0"/>
                <w:sz w:val="21"/>
                <w:szCs w:val="21"/>
              </w:rPr>
              <w:fldChar w:fldCharType="begin"/>
            </w:r>
            <w:r>
              <w:rPr>
                <w:rFonts w:eastAsia="宋体"/>
                <w:b w:val="0"/>
                <w:sz w:val="21"/>
                <w:szCs w:val="21"/>
              </w:rPr>
              <w:instrText xml:space="preserve"> HYPERLINK "http://www.csres.com/detail/192977.html" \t "http://www.csres.com/_blank" </w:instrText>
            </w:r>
            <w:r>
              <w:rPr>
                <w:rFonts w:eastAsia="宋体"/>
                <w:b w:val="0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/>
                <w:b w:val="0"/>
                <w:sz w:val="21"/>
                <w:szCs w:val="21"/>
              </w:rPr>
              <w:t>GB/T 22154-2008</w:t>
            </w:r>
            <w:r>
              <w:rPr>
                <w:rFonts w:ascii="宋体" w:hAnsi="宋体" w:eastAsia="宋体"/>
                <w:b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《建设工程造价咨询规范》；《审计法》；《招标投标法》及《招标投标法实施条例》；国务院《建设工程质量管理条例》；《建设工程工程量清单计价规范》（GB50500-2013）四川建设工程工程量清单计价定额及费用定额（2015版）；《房屋建筑和市政工程标准施工招标文件》（2010年版）；《建筑工程施工发包与承包计价管理办法》；建设部、财政部发布的《建设工程价款结算暂行办法》；中国建设工程造价管理协会《工程造价咨询业务操作指导规程》；《建设项目内部审计指南》</w:t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205740</wp:posOffset>
                  </wp:positionV>
                  <wp:extent cx="906780" cy="307975"/>
                  <wp:effectExtent l="0" t="0" r="7620" b="9525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2022年10月12日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220980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2022年10月12日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23A2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2022-10-12T15:08:34Z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