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上海达富环境科技有限公司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1025-2021-2022</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1025-2021-2022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上海达富环境科技有限公司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丁小容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ISC-2021-1127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2026-10-12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2022年10月12日 上午</w:t>
            </w:r>
            <w:bookmarkEnd w:id="9"/>
            <w:r>
              <w:rPr>
                <w:rFonts w:hint="eastAsia" w:cs="宋体" w:asciiTheme="minorEastAsia" w:hAnsiTheme="minorEastAsia"/>
                <w:kern w:val="0"/>
                <w:szCs w:val="21"/>
                <w:lang w:val="en-US" w:eastAsia="zh-CN"/>
              </w:rPr>
              <w:t>至10月13日上午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2018-M1MMS-1227641</w:t>
            </w:r>
            <w:r>
              <w:rPr>
                <w:rFonts w:hint="eastAsia" w:ascii="宋体" w:hAnsi="宋体"/>
                <w:color w:val="000000"/>
                <w:szCs w:val="21"/>
                <w:shd w:val="clear" w:color="auto" w:fill="auto"/>
                <w:lang w:eastAsia="zh-CN"/>
              </w:rPr>
              <w:t>，</w:t>
            </w: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eastAsia"/>
                <w:szCs w:val="21"/>
                <w:lang w:val="en-US" w:eastAsia="zh-CN"/>
              </w:rPr>
            </w:pPr>
            <w:r>
              <w:rPr>
                <w:rFonts w:hint="eastAsia"/>
                <w:szCs w:val="21"/>
                <w:lang w:val="en-US" w:eastAsia="zh-CN"/>
              </w:rPr>
              <w:t>管理层/管理者代表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szCs w:val="21"/>
                <w:lang w:val="en-US" w:eastAsia="zh-CN"/>
              </w:rPr>
              <w:t>综合办、养护部、经营科</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1.一年内违反法律法规或重大事故的情况：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一年来，公司日常运行中检测技术服务、经营、安全、及管理方面比去年都有很大提升，企业制定了多项生产管理文件、制度，测量管理体系理念更加深入人心，企业未有违反法律、法规问题和产品质量问题的投诉或重大质量事故发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2.1公司于2022年8月26日组织了公司测量管理体系内审，内审分2个组，对公司4个部门进行了审核，未发现不符合项。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9月1日开展了单体系管理评审，会议由公司总经理姚敏辉主持，由管理者代表汇报了体系运行情况。其他部门汇报了本部门分管的测量体系相关工作。会议肯定了公司测量管理体系的充分性、有效性和适宜性。形成了管理评审报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用水量测试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a)计量要求的导出和验证：查用水量测试过程，计量要求导出方法正确，验证满足测量过程要求。祥见附件《计量要求导出及验证记录表》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b)测量不确定评定：查用水量测试过程，测量不确定度评定方法正确。祥见附件《测量不确定度评定》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c)有效性确认：查用水量测试过程有效性确认，满足要求。祥见附件《测量过程有效性确认》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d)测量过程的控制：查用水量测试过程，编制了控制规范，对测量人员、测量设备、测量环境进行控制，满足要求。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e)测量过程的监视：查用水量测试过程，采用统计技术进行控制和监视测量过程。祥见《用水量测试过程监视记录表及控制图》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综合办负责组织委外检定/校准。公司测量设备委托上海市供水水表强制检定站有限公司、上海俊慧菲计量校准科技有限公司校准。抽查5台测量设备检定/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4.能源管理情况：企业主要消耗电能、水。2021年10月-2022年9月消耗电量2409kWh，水758t，企业不是重点能耗单位。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去年初次认证审核发现1个一般不符合项。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检查养护部检测组现场使用内部编制的《水平衡测试操作指导书》，无文件编号及受控标识，不符合GB/T 19022-2003标准中 6.2.1条款。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企业分析了原因，组织了整改，经验证该不符合项已整改完成，同意关闭该不符合项。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公司制定了4项质量目标，质量目标有具体考核指标可测量，因企业规模较小未分解到各部门，经统计2022年1月至9月质量目标全部完成。企业测量体系进一步满足顾客、质量、服务等方面的要求，符合GB/T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widowControl/>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企业组织机构没有变更。总经理由周建平变更为姚敏辉，管理者代表由姚敏辉变更为徐志伟。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企业营业执照未发生变更。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10.本次审核未发现一般不符合项 ，未发现严重或系统性的不符合情况。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11.产品的销售及售后：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抽查《技术服务合同》，合同编号：2021DY-7-34,签订时间2021年7月30日。经确认企业对应的检测技术服务过程涉及有对应的测量过程和测量设备，测量设备的配备满足检测技术服务要求。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通过2022年10月12日上午至10月13日上午，对上海达富环境科技有限公司 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上海达富环境科技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FF"/>
          <w:kern w:val="0"/>
          <w:sz w:val="24"/>
          <w:szCs w:val="24"/>
          <w:lang w:val="en-US" w:eastAsia="zh-CN"/>
        </w:rPr>
      </w:pPr>
      <w:bookmarkStart w:id="11" w:name="_GoBack"/>
      <w:bookmarkEnd w:id="11"/>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68480" behindDoc="0" locked="0" layoutInCell="1" allowOverlap="1">
            <wp:simplePos x="0" y="0"/>
            <wp:positionH relativeFrom="column">
              <wp:posOffset>1520825</wp:posOffset>
            </wp:positionH>
            <wp:positionV relativeFrom="paragraph">
              <wp:posOffset>254635</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2022年10月13日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EE6CD7"/>
    <w:rsid w:val="2EBC2018"/>
    <w:rsid w:val="39C12A87"/>
    <w:rsid w:val="3A51603E"/>
    <w:rsid w:val="50C911C9"/>
    <w:rsid w:val="6B6D7023"/>
    <w:rsid w:val="71200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7</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2022-10-13T01:33:14Z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